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ascii="黑体" w:hAnsi="黑体" w:eastAsia="黑体" w:cs="黑体"/>
          <w:color w:val="000000"/>
          <w:kern w:val="0"/>
          <w:sz w:val="32"/>
          <w:szCs w:val="32"/>
        </w:rPr>
      </w:pPr>
      <w:bookmarkStart w:id="0" w:name="_GoBack"/>
      <w:bookmarkEnd w:id="0"/>
      <w:r>
        <w:rPr>
          <w:rFonts w:hint="eastAsia" w:ascii="黑体" w:hAnsi="黑体" w:eastAsia="黑体" w:cs="黑体"/>
          <w:color w:val="000000"/>
          <w:kern w:val="0"/>
          <w:sz w:val="32"/>
          <w:szCs w:val="32"/>
        </w:rPr>
        <w:t>附件1</w:t>
      </w:r>
    </w:p>
    <w:p>
      <w:pPr>
        <w:adjustRightInd w:val="0"/>
        <w:snapToGrid w:val="0"/>
        <w:spacing w:line="600" w:lineRule="exact"/>
        <w:jc w:val="center"/>
        <w:rPr>
          <w:rFonts w:hint="eastAsia" w:ascii="方正小标宋_GBK" w:eastAsia="方正小标宋_GBK"/>
          <w:bCs/>
          <w:color w:val="000000"/>
          <w:kern w:val="0"/>
          <w:sz w:val="44"/>
          <w:szCs w:val="44"/>
          <w:lang w:eastAsia="zh-CN"/>
        </w:rPr>
      </w:pPr>
      <w:r>
        <w:rPr>
          <w:rFonts w:hint="eastAsia" w:ascii="方正小标宋_GBK" w:eastAsia="方正小标宋_GBK"/>
          <w:bCs/>
          <w:color w:val="000000"/>
          <w:kern w:val="0"/>
          <w:sz w:val="44"/>
          <w:szCs w:val="44"/>
        </w:rPr>
        <w:t>广州市司法局</w:t>
      </w:r>
      <w:r>
        <w:rPr>
          <w:rFonts w:hint="eastAsia" w:ascii="方正小标宋_GBK" w:hAnsi="方正小标宋_GBK" w:eastAsia="方正小标宋_GBK" w:cs="方正小标宋_GBK"/>
          <w:bCs/>
          <w:color w:val="000000"/>
          <w:kern w:val="0"/>
          <w:sz w:val="44"/>
          <w:szCs w:val="44"/>
        </w:rPr>
        <w:t>202</w:t>
      </w:r>
      <w:r>
        <w:rPr>
          <w:rFonts w:hint="eastAsia" w:ascii="方正小标宋_GBK" w:hAnsi="方正小标宋_GBK" w:eastAsia="方正小标宋_GBK" w:cs="方正小标宋_GBK"/>
          <w:bCs/>
          <w:color w:val="000000"/>
          <w:kern w:val="0"/>
          <w:sz w:val="44"/>
          <w:szCs w:val="44"/>
          <w:lang w:val="en-US" w:eastAsia="zh-CN"/>
        </w:rPr>
        <w:t>3</w:t>
      </w:r>
      <w:r>
        <w:rPr>
          <w:rFonts w:hint="eastAsia" w:ascii="方正小标宋_GBK" w:eastAsia="方正小标宋_GBK"/>
          <w:bCs/>
          <w:color w:val="000000"/>
          <w:kern w:val="0"/>
          <w:sz w:val="44"/>
          <w:szCs w:val="44"/>
        </w:rPr>
        <w:t>年度法治课题</w:t>
      </w:r>
      <w:r>
        <w:rPr>
          <w:rFonts w:hint="eastAsia" w:ascii="方正小标宋_GBK" w:eastAsia="方正小标宋_GBK"/>
          <w:bCs/>
          <w:color w:val="000000"/>
          <w:kern w:val="0"/>
          <w:sz w:val="44"/>
          <w:szCs w:val="44"/>
          <w:lang w:eastAsia="zh-CN"/>
        </w:rPr>
        <w:t>委托研究计划</w:t>
      </w:r>
    </w:p>
    <w:tbl>
      <w:tblPr>
        <w:tblStyle w:val="12"/>
        <w:tblW w:w="50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
        <w:gridCol w:w="870"/>
        <w:gridCol w:w="1574"/>
        <w:gridCol w:w="4244"/>
        <w:gridCol w:w="6272"/>
        <w:gridCol w:w="1746"/>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blHeader/>
          <w:jc w:val="center"/>
        </w:trPr>
        <w:tc>
          <w:tcPr>
            <w:tcW w:w="114" w:type="pct"/>
            <w:vAlign w:val="center"/>
          </w:tcPr>
          <w:p>
            <w:pPr>
              <w:widowControl/>
              <w:spacing w:line="300" w:lineRule="exact"/>
              <w:jc w:val="center"/>
              <w:rPr>
                <w:rFonts w:hint="eastAsia" w:ascii="黑体" w:hAnsi="黑体" w:eastAsia="黑体" w:cs="黑体"/>
                <w:b w:val="0"/>
                <w:bCs w:val="0"/>
                <w:color w:val="000000"/>
                <w:kern w:val="0"/>
                <w:sz w:val="24"/>
                <w:szCs w:val="28"/>
                <w:highlight w:val="none"/>
              </w:rPr>
            </w:pPr>
            <w:r>
              <w:rPr>
                <w:rFonts w:hint="eastAsia" w:ascii="黑体" w:hAnsi="黑体" w:eastAsia="黑体" w:cs="黑体"/>
                <w:b w:val="0"/>
                <w:bCs w:val="0"/>
                <w:color w:val="000000"/>
                <w:kern w:val="0"/>
                <w:sz w:val="24"/>
                <w:szCs w:val="28"/>
                <w:highlight w:val="none"/>
              </w:rPr>
              <w:t>序号</w:t>
            </w:r>
          </w:p>
        </w:tc>
        <w:tc>
          <w:tcPr>
            <w:tcW w:w="265" w:type="pct"/>
            <w:vAlign w:val="center"/>
          </w:tcPr>
          <w:p>
            <w:pPr>
              <w:widowControl/>
              <w:spacing w:line="300" w:lineRule="exact"/>
              <w:jc w:val="center"/>
              <w:rPr>
                <w:rFonts w:hint="eastAsia" w:ascii="黑体" w:hAnsi="黑体" w:eastAsia="黑体" w:cs="黑体"/>
                <w:b w:val="0"/>
                <w:bCs w:val="0"/>
                <w:color w:val="000000"/>
                <w:kern w:val="0"/>
                <w:sz w:val="24"/>
                <w:szCs w:val="28"/>
                <w:highlight w:val="none"/>
              </w:rPr>
            </w:pPr>
            <w:r>
              <w:rPr>
                <w:rFonts w:hint="eastAsia" w:ascii="黑体" w:hAnsi="黑体" w:eastAsia="黑体" w:cs="黑体"/>
                <w:b w:val="0"/>
                <w:bCs w:val="0"/>
                <w:color w:val="000000"/>
                <w:kern w:val="0"/>
                <w:sz w:val="24"/>
                <w:szCs w:val="28"/>
                <w:highlight w:val="none"/>
              </w:rPr>
              <w:t>课题类别</w:t>
            </w:r>
          </w:p>
        </w:tc>
        <w:tc>
          <w:tcPr>
            <w:tcW w:w="479" w:type="pct"/>
            <w:vAlign w:val="center"/>
          </w:tcPr>
          <w:p>
            <w:pPr>
              <w:widowControl/>
              <w:spacing w:line="300" w:lineRule="exact"/>
              <w:jc w:val="center"/>
              <w:rPr>
                <w:rFonts w:hint="eastAsia" w:ascii="黑体" w:hAnsi="黑体" w:eastAsia="黑体" w:cs="黑体"/>
                <w:b w:val="0"/>
                <w:bCs w:val="0"/>
                <w:color w:val="000000"/>
                <w:kern w:val="0"/>
                <w:sz w:val="24"/>
                <w:szCs w:val="28"/>
                <w:highlight w:val="none"/>
              </w:rPr>
            </w:pPr>
            <w:r>
              <w:rPr>
                <w:rFonts w:hint="eastAsia" w:ascii="黑体" w:hAnsi="黑体" w:eastAsia="黑体" w:cs="黑体"/>
                <w:b w:val="0"/>
                <w:bCs w:val="0"/>
                <w:color w:val="000000"/>
                <w:kern w:val="0"/>
                <w:sz w:val="24"/>
                <w:szCs w:val="28"/>
                <w:highlight w:val="none"/>
              </w:rPr>
              <w:t>课题名称</w:t>
            </w:r>
          </w:p>
        </w:tc>
        <w:tc>
          <w:tcPr>
            <w:tcW w:w="1292" w:type="pct"/>
            <w:vAlign w:val="center"/>
          </w:tcPr>
          <w:p>
            <w:pPr>
              <w:widowControl/>
              <w:spacing w:line="300" w:lineRule="exact"/>
              <w:jc w:val="center"/>
              <w:rPr>
                <w:rFonts w:hint="eastAsia" w:ascii="黑体" w:hAnsi="黑体" w:eastAsia="黑体" w:cs="黑体"/>
                <w:b w:val="0"/>
                <w:bCs w:val="0"/>
                <w:color w:val="000000"/>
                <w:kern w:val="0"/>
                <w:sz w:val="24"/>
                <w:szCs w:val="28"/>
                <w:highlight w:val="none"/>
              </w:rPr>
            </w:pPr>
            <w:r>
              <w:rPr>
                <w:rFonts w:hint="eastAsia" w:ascii="黑体" w:hAnsi="黑体" w:eastAsia="黑体" w:cs="黑体"/>
                <w:b w:val="0"/>
                <w:bCs w:val="0"/>
                <w:color w:val="000000"/>
                <w:kern w:val="0"/>
                <w:sz w:val="24"/>
                <w:szCs w:val="28"/>
                <w:highlight w:val="none"/>
              </w:rPr>
              <w:t>研究目的</w:t>
            </w:r>
          </w:p>
        </w:tc>
        <w:tc>
          <w:tcPr>
            <w:tcW w:w="1910" w:type="pct"/>
            <w:vAlign w:val="center"/>
          </w:tcPr>
          <w:p>
            <w:pPr>
              <w:widowControl/>
              <w:spacing w:line="300" w:lineRule="exact"/>
              <w:jc w:val="center"/>
              <w:rPr>
                <w:rFonts w:hint="eastAsia" w:ascii="黑体" w:hAnsi="黑体" w:eastAsia="黑体" w:cs="黑体"/>
                <w:b w:val="0"/>
                <w:bCs w:val="0"/>
                <w:color w:val="000000"/>
                <w:kern w:val="0"/>
                <w:sz w:val="24"/>
                <w:szCs w:val="28"/>
                <w:highlight w:val="none"/>
              </w:rPr>
            </w:pPr>
            <w:r>
              <w:rPr>
                <w:rFonts w:hint="eastAsia" w:ascii="黑体" w:hAnsi="黑体" w:eastAsia="黑体" w:cs="黑体"/>
                <w:b w:val="0"/>
                <w:bCs w:val="0"/>
                <w:color w:val="000000"/>
                <w:kern w:val="0"/>
                <w:sz w:val="24"/>
                <w:szCs w:val="28"/>
                <w:highlight w:val="none"/>
              </w:rPr>
              <w:t>研究内容</w:t>
            </w:r>
          </w:p>
        </w:tc>
        <w:tc>
          <w:tcPr>
            <w:tcW w:w="531" w:type="pct"/>
            <w:vAlign w:val="center"/>
          </w:tcPr>
          <w:p>
            <w:pPr>
              <w:widowControl/>
              <w:spacing w:line="300" w:lineRule="exact"/>
              <w:jc w:val="center"/>
              <w:rPr>
                <w:rFonts w:hint="eastAsia" w:ascii="黑体" w:hAnsi="黑体" w:eastAsia="黑体" w:cs="黑体"/>
                <w:b w:val="0"/>
                <w:bCs w:val="0"/>
                <w:color w:val="000000"/>
                <w:kern w:val="0"/>
                <w:sz w:val="24"/>
                <w:szCs w:val="28"/>
                <w:highlight w:val="none"/>
              </w:rPr>
            </w:pPr>
            <w:r>
              <w:rPr>
                <w:rFonts w:hint="eastAsia" w:ascii="黑体" w:hAnsi="黑体" w:eastAsia="黑体" w:cs="黑体"/>
                <w:b w:val="0"/>
                <w:bCs w:val="0"/>
                <w:color w:val="000000"/>
                <w:kern w:val="0"/>
                <w:sz w:val="24"/>
                <w:szCs w:val="28"/>
                <w:highlight w:val="none"/>
              </w:rPr>
              <w:t>研究成果</w:t>
            </w:r>
          </w:p>
        </w:tc>
        <w:tc>
          <w:tcPr>
            <w:tcW w:w="405" w:type="pct"/>
            <w:vAlign w:val="center"/>
          </w:tcPr>
          <w:p>
            <w:pPr>
              <w:widowControl/>
              <w:spacing w:line="300" w:lineRule="exact"/>
              <w:jc w:val="center"/>
              <w:rPr>
                <w:rFonts w:hint="eastAsia" w:ascii="黑体" w:hAnsi="黑体" w:eastAsia="黑体" w:cs="黑体"/>
                <w:b w:val="0"/>
                <w:bCs w:val="0"/>
                <w:color w:val="000000"/>
                <w:kern w:val="0"/>
                <w:sz w:val="24"/>
                <w:szCs w:val="28"/>
                <w:highlight w:val="none"/>
              </w:rPr>
            </w:pPr>
            <w:r>
              <w:rPr>
                <w:rFonts w:hint="eastAsia" w:ascii="黑体" w:hAnsi="黑体" w:eastAsia="黑体" w:cs="黑体"/>
                <w:b w:val="0"/>
                <w:bCs w:val="0"/>
                <w:color w:val="000000"/>
                <w:kern w:val="0"/>
                <w:sz w:val="24"/>
                <w:szCs w:val="28"/>
                <w:highlight w:val="none"/>
              </w:rPr>
              <w:t>课题经</w:t>
            </w:r>
          </w:p>
          <w:p>
            <w:pPr>
              <w:widowControl/>
              <w:spacing w:line="300" w:lineRule="exact"/>
              <w:jc w:val="center"/>
              <w:rPr>
                <w:rFonts w:hint="eastAsia" w:ascii="黑体" w:hAnsi="黑体" w:eastAsia="黑体" w:cs="黑体"/>
                <w:b w:val="0"/>
                <w:bCs w:val="0"/>
                <w:color w:val="000000"/>
                <w:kern w:val="0"/>
                <w:sz w:val="24"/>
                <w:szCs w:val="28"/>
                <w:highlight w:val="none"/>
                <w:lang w:eastAsia="zh-CN"/>
              </w:rPr>
            </w:pPr>
            <w:r>
              <w:rPr>
                <w:rFonts w:hint="eastAsia" w:ascii="黑体" w:hAnsi="黑体" w:eastAsia="黑体" w:cs="黑体"/>
                <w:b w:val="0"/>
                <w:bCs w:val="0"/>
                <w:color w:val="000000"/>
                <w:kern w:val="0"/>
                <w:sz w:val="24"/>
                <w:szCs w:val="28"/>
                <w:highlight w:val="none"/>
              </w:rPr>
              <w:t>费</w:t>
            </w:r>
            <w:r>
              <w:rPr>
                <w:rFonts w:hint="eastAsia" w:ascii="黑体" w:hAnsi="黑体" w:eastAsia="黑体" w:cs="黑体"/>
                <w:b w:val="0"/>
                <w:bCs w:val="0"/>
                <w:color w:val="000000"/>
                <w:kern w:val="0"/>
                <w:sz w:val="24"/>
                <w:szCs w:val="28"/>
                <w:highlight w:val="none"/>
                <w:lang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4" w:hRule="atLeast"/>
          <w:tblHeader/>
          <w:jc w:val="center"/>
        </w:trPr>
        <w:tc>
          <w:tcPr>
            <w:tcW w:w="114" w:type="pct"/>
            <w:vAlign w:val="center"/>
          </w:tcPr>
          <w:p>
            <w:pPr>
              <w:pStyle w:val="21"/>
              <w:widowControl/>
              <w:numPr>
                <w:ilvl w:val="0"/>
                <w:numId w:val="1"/>
              </w:numPr>
              <w:spacing w:line="340" w:lineRule="exact"/>
              <w:ind w:firstLineChars="0"/>
              <w:jc w:val="center"/>
              <w:rPr>
                <w:rFonts w:hint="eastAsia" w:ascii="仿宋_GB2312" w:hAnsi="仿宋_GB2312" w:eastAsia="仿宋_GB2312" w:cs="仿宋_GB2312"/>
                <w:color w:val="000000"/>
                <w:kern w:val="0"/>
                <w:sz w:val="21"/>
                <w:szCs w:val="21"/>
                <w:highlight w:val="none"/>
              </w:rPr>
            </w:pPr>
          </w:p>
        </w:tc>
        <w:tc>
          <w:tcPr>
            <w:tcW w:w="265" w:type="pct"/>
            <w:vAlign w:val="center"/>
          </w:tcPr>
          <w:p>
            <w:pPr>
              <w:spacing w:line="240" w:lineRule="exact"/>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重点</w:t>
            </w:r>
          </w:p>
          <w:p>
            <w:pPr>
              <w:spacing w:line="340" w:lineRule="exact"/>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highlight w:val="none"/>
                <w:lang w:eastAsia="zh-CN"/>
              </w:rPr>
              <w:t>课题</w:t>
            </w:r>
          </w:p>
        </w:tc>
        <w:tc>
          <w:tcPr>
            <w:tcW w:w="479" w:type="pct"/>
            <w:vAlign w:val="center"/>
          </w:tcPr>
          <w:p>
            <w:pPr>
              <w:keepNext w:val="0"/>
              <w:keepLines w:val="0"/>
              <w:pageBreakBefore w:val="0"/>
              <w:widowControl/>
              <w:kinsoku/>
              <w:wordWrap/>
              <w:overflowPunct/>
              <w:topLinePunct w:val="0"/>
              <w:autoSpaceDE/>
              <w:autoSpaceDN/>
              <w:bidi w:val="0"/>
              <w:spacing w:line="340" w:lineRule="exact"/>
              <w:jc w:val="left"/>
              <w:textAlignment w:val="auto"/>
              <w:rPr>
                <w:rFonts w:hint="eastAsia" w:ascii="仿宋_GB2312" w:hAnsi="仿宋_GB2312" w:eastAsia="仿宋_GB2312" w:cs="仿宋_GB2312"/>
                <w:szCs w:val="21"/>
                <w:highlight w:val="none"/>
              </w:rPr>
            </w:pPr>
            <w:r>
              <w:rPr>
                <w:rFonts w:hint="eastAsia" w:ascii="仿宋_GB2312" w:hAnsi="仿宋_GB2312" w:eastAsia="仿宋_GB2312" w:cs="仿宋_GB2312"/>
                <w:color w:val="auto"/>
                <w:kern w:val="2"/>
                <w:sz w:val="24"/>
                <w:szCs w:val="24"/>
                <w:highlight w:val="none"/>
                <w:lang w:val="en-US" w:eastAsia="zh-CN" w:bidi="ar-SA"/>
              </w:rPr>
              <w:t>以司法行政工作现代化服务保障中国式现代化广州实践的展望与规划研究</w:t>
            </w:r>
          </w:p>
        </w:tc>
        <w:tc>
          <w:tcPr>
            <w:tcW w:w="1292" w:type="pct"/>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Cs w:val="21"/>
                <w:highlight w:val="none"/>
              </w:rPr>
            </w:pPr>
            <w:r>
              <w:rPr>
                <w:rFonts w:hint="eastAsia" w:ascii="仿宋_GB2312" w:hAnsi="仿宋_GB2312" w:eastAsia="仿宋_GB2312" w:cs="仿宋_GB2312"/>
                <w:color w:val="auto"/>
                <w:kern w:val="2"/>
                <w:sz w:val="24"/>
                <w:szCs w:val="24"/>
                <w:highlight w:val="none"/>
                <w:lang w:val="en-US" w:eastAsia="zh-CN" w:bidi="ar-SA"/>
              </w:rPr>
              <w:t>　　为贯彻落实习近平总书记关于“坚持改革创新发扬斗争精神 奋力推进政法工作现代化”的重要指示精神，立</w:t>
            </w:r>
            <w:r>
              <w:rPr>
                <w:rFonts w:hint="eastAsia" w:ascii="仿宋_GB2312" w:hAnsi="仿宋_GB2312" w:eastAsia="仿宋_GB2312" w:cs="仿宋_GB2312"/>
                <w:i w:val="0"/>
                <w:iCs w:val="0"/>
                <w:caps w:val="0"/>
                <w:color w:val="000000"/>
                <w:spacing w:val="0"/>
                <w:sz w:val="24"/>
                <w:szCs w:val="24"/>
                <w:highlight w:val="none"/>
                <w:shd w:val="clear" w:fill="auto"/>
              </w:rPr>
              <w:t>足全面履行司法行政工作职能职责</w:t>
            </w:r>
            <w:r>
              <w:rPr>
                <w:rFonts w:hint="eastAsia" w:ascii="仿宋_GB2312" w:hAnsi="仿宋_GB2312" w:eastAsia="仿宋_GB2312" w:cs="仿宋_GB2312"/>
                <w:i w:val="0"/>
                <w:iCs w:val="0"/>
                <w:caps w:val="0"/>
                <w:color w:val="auto"/>
                <w:spacing w:val="0"/>
                <w:sz w:val="24"/>
                <w:szCs w:val="24"/>
                <w:highlight w:val="none"/>
                <w:shd w:val="clear"/>
                <w:lang w:eastAsia="zh-CN"/>
              </w:rPr>
              <w:t>，</w:t>
            </w:r>
            <w:r>
              <w:rPr>
                <w:rFonts w:hint="eastAsia" w:ascii="仿宋_GB2312" w:hAnsi="仿宋_GB2312" w:eastAsia="仿宋_GB2312" w:cs="仿宋_GB2312"/>
                <w:i w:val="0"/>
                <w:iCs w:val="0"/>
                <w:caps w:val="0"/>
                <w:color w:val="000000"/>
                <w:spacing w:val="0"/>
                <w:sz w:val="24"/>
                <w:szCs w:val="24"/>
                <w:highlight w:val="none"/>
                <w:shd w:val="clear" w:fill="auto"/>
              </w:rPr>
              <w:t>奋力推进新时代新征程司法行政工作现代化</w:t>
            </w:r>
            <w:r>
              <w:rPr>
                <w:rFonts w:hint="eastAsia" w:ascii="仿宋_GB2312" w:hAnsi="仿宋_GB2312" w:eastAsia="仿宋_GB2312" w:cs="仿宋_GB2312"/>
                <w:i w:val="0"/>
                <w:iCs w:val="0"/>
                <w:caps w:val="0"/>
                <w:color w:val="auto"/>
                <w:spacing w:val="0"/>
                <w:sz w:val="24"/>
                <w:szCs w:val="24"/>
                <w:highlight w:val="none"/>
                <w:shd w:val="clear" w:fill="auto"/>
                <w:lang w:eastAsia="zh-CN"/>
              </w:rPr>
              <w:t>，</w:t>
            </w:r>
            <w:r>
              <w:rPr>
                <w:rFonts w:hint="eastAsia" w:ascii="仿宋_GB2312" w:hAnsi="仿宋_GB2312" w:eastAsia="仿宋_GB2312" w:cs="仿宋_GB2312"/>
                <w:i w:val="0"/>
                <w:iCs w:val="0"/>
                <w:caps w:val="0"/>
                <w:color w:val="auto"/>
                <w:spacing w:val="0"/>
                <w:sz w:val="24"/>
                <w:szCs w:val="24"/>
                <w:highlight w:val="none"/>
                <w:shd w:val="clear" w:fill="auto"/>
                <w:lang w:val="en-US" w:eastAsia="zh-CN"/>
              </w:rPr>
              <w:t>以高质量法治保障服务中国式现代</w:t>
            </w:r>
            <w:r>
              <w:rPr>
                <w:rFonts w:hint="eastAsia" w:ascii="仿宋_GB2312" w:hAnsi="仿宋_GB2312" w:eastAsia="仿宋_GB2312" w:cs="仿宋_GB2312"/>
                <w:color w:val="auto"/>
                <w:kern w:val="2"/>
                <w:sz w:val="24"/>
                <w:szCs w:val="24"/>
                <w:highlight w:val="none"/>
                <w:lang w:val="en-US" w:eastAsia="zh-CN" w:bidi="ar-SA"/>
              </w:rPr>
              <w:t>。一方面，在全面依法治国背景下，有必要深入研究和提出进一步提升广州市司法行政工作现代化水平，强化法治保障能力的创新制度举措。另一方面，有必要在全面总结广州市司法行政工作的特色经验，提炼形成司法行政工作现代化的“广州模式（样本）”的基础上，进一步研究提出从现在至</w:t>
            </w:r>
            <w:r>
              <w:rPr>
                <w:rFonts w:hint="eastAsia" w:ascii="Times New Roman" w:hAnsi="Times New Roman" w:eastAsia="仿宋_GB2312" w:cs="Times New Roman"/>
                <w:kern w:val="2"/>
                <w:sz w:val="24"/>
                <w:szCs w:val="24"/>
                <w:highlight w:val="none"/>
                <w:lang w:val="en-US" w:eastAsia="zh-CN" w:bidi="ar-SA"/>
              </w:rPr>
              <w:t>2035</w:t>
            </w:r>
            <w:r>
              <w:rPr>
                <w:rFonts w:hint="eastAsia" w:ascii="仿宋_GB2312" w:hAnsi="仿宋_GB2312" w:eastAsia="仿宋_GB2312" w:cs="仿宋_GB2312"/>
                <w:color w:val="auto"/>
                <w:kern w:val="2"/>
                <w:sz w:val="24"/>
                <w:szCs w:val="24"/>
                <w:highlight w:val="none"/>
                <w:lang w:val="en-US" w:eastAsia="zh-CN" w:bidi="ar-SA"/>
              </w:rPr>
              <w:t>年，司法行政工作现代化的主要目标、时间路线、改革举措和实现路径等规划设计，为下一步的工作谋划提供有力的理论支撑和智力支持。</w:t>
            </w:r>
          </w:p>
        </w:tc>
        <w:tc>
          <w:tcPr>
            <w:tcW w:w="1910" w:type="pct"/>
            <w:vAlign w:val="top"/>
          </w:tcPr>
          <w:p>
            <w:pPr>
              <w:keepNext w:val="0"/>
              <w:keepLines w:val="0"/>
              <w:pageBreakBefore w:val="0"/>
              <w:widowControl/>
              <w:numPr>
                <w:ilvl w:val="-1"/>
                <w:numId w:val="0"/>
              </w:numPr>
              <w:kinsoku/>
              <w:wordWrap/>
              <w:overflowPunct/>
              <w:topLinePunct w:val="0"/>
              <w:autoSpaceDE/>
              <w:autoSpaceDN/>
              <w:bidi w:val="0"/>
              <w:adjustRightInd/>
              <w:snapToGrid/>
              <w:spacing w:line="34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在全面依法治国的背景下，研究提出进一步提升广州市司法行政工作水平，加强法治保障能力，以高质量法治保障促进广州市实现全面提升的对策和建议。包括但不限于以下方面：</w:t>
            </w:r>
          </w:p>
          <w:p>
            <w:pPr>
              <w:keepNext w:val="0"/>
              <w:keepLines w:val="0"/>
              <w:pageBreakBefore w:val="0"/>
              <w:widowControl/>
              <w:numPr>
                <w:ilvl w:val="-1"/>
                <w:numId w:val="0"/>
              </w:numPr>
              <w:kinsoku/>
              <w:wordWrap/>
              <w:overflowPunct/>
              <w:topLinePunct w:val="0"/>
              <w:autoSpaceDE/>
              <w:autoSpaceDN/>
              <w:bidi w:val="0"/>
              <w:adjustRightInd/>
              <w:snapToGrid/>
              <w:spacing w:line="34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1.提升地方立法工作质量水平的建议；</w:t>
            </w:r>
          </w:p>
          <w:p>
            <w:pPr>
              <w:keepNext w:val="0"/>
              <w:keepLines w:val="0"/>
              <w:pageBreakBefore w:val="0"/>
              <w:widowControl/>
              <w:numPr>
                <w:ilvl w:val="-1"/>
                <w:numId w:val="0"/>
              </w:numPr>
              <w:kinsoku/>
              <w:wordWrap/>
              <w:overflowPunct/>
              <w:topLinePunct w:val="0"/>
              <w:autoSpaceDE/>
              <w:autoSpaceDN/>
              <w:bidi w:val="0"/>
              <w:adjustRightInd/>
              <w:snapToGrid/>
              <w:spacing w:line="34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2.加强</w:t>
            </w:r>
            <w:r>
              <w:rPr>
                <w:rFonts w:hint="eastAsia" w:ascii="仿宋" w:hAnsi="仿宋" w:eastAsia="仿宋" w:cs="仿宋"/>
                <w:sz w:val="24"/>
                <w:szCs w:val="24"/>
                <w:highlight w:val="none"/>
              </w:rPr>
              <w:t>行政执法</w:t>
            </w:r>
            <w:r>
              <w:rPr>
                <w:rFonts w:hint="eastAsia" w:ascii="仿宋" w:hAnsi="仿宋" w:eastAsia="仿宋" w:cs="仿宋"/>
                <w:sz w:val="24"/>
                <w:szCs w:val="24"/>
                <w:highlight w:val="none"/>
                <w:lang w:val="en-US" w:eastAsia="zh-CN"/>
              </w:rPr>
              <w:t>规范化标准化合规化建设的建议</w:t>
            </w:r>
            <w:r>
              <w:rPr>
                <w:rFonts w:hint="eastAsia" w:ascii="仿宋_GB2312" w:hAnsi="仿宋_GB2312" w:eastAsia="仿宋_GB2312" w:cs="仿宋_GB2312"/>
                <w:color w:val="auto"/>
                <w:kern w:val="2"/>
                <w:sz w:val="24"/>
                <w:szCs w:val="24"/>
                <w:highlight w:val="none"/>
                <w:lang w:val="en-US" w:eastAsia="zh-CN" w:bidi="ar-SA"/>
              </w:rPr>
              <w:t>；</w:t>
            </w:r>
          </w:p>
          <w:p>
            <w:pPr>
              <w:keepNext w:val="0"/>
              <w:keepLines w:val="0"/>
              <w:pageBreakBefore w:val="0"/>
              <w:widowControl/>
              <w:numPr>
                <w:ilvl w:val="-1"/>
                <w:numId w:val="0"/>
              </w:numPr>
              <w:kinsoku/>
              <w:wordWrap/>
              <w:overflowPunct/>
              <w:topLinePunct w:val="0"/>
              <w:autoSpaceDE/>
              <w:autoSpaceDN/>
              <w:bidi w:val="0"/>
              <w:adjustRightInd/>
              <w:snapToGrid/>
              <w:spacing w:line="340" w:lineRule="exact"/>
              <w:ind w:left="0"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3.增强公共法律服务工作水平，持续推进打造全国公共法律服务最便捷优质城市的创新制度举措的建议；</w:t>
            </w:r>
          </w:p>
          <w:p>
            <w:pPr>
              <w:widowControl/>
              <w:numPr>
                <w:ilvl w:val="-1"/>
                <w:numId w:val="0"/>
              </w:numPr>
              <w:spacing w:line="340" w:lineRule="exact"/>
              <w:ind w:firstLine="480" w:firstLineChars="20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2"/>
                <w:sz w:val="24"/>
                <w:szCs w:val="24"/>
                <w:highlight w:val="none"/>
                <w:lang w:val="en-US" w:eastAsia="zh-CN" w:bidi="ar-SA"/>
              </w:rPr>
              <w:t>4.其他方面对策建议。</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both"/>
              <w:textAlignment w:val="auto"/>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二、全面总结广州市司法行政工作的特色经验，研究提炼司法行政工作现代化的广州模式（样本）。包括但不限于以下方面：</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1.矛盾纠纷多元化解现代化的广州模式（样本）；</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2.行政执法工作现代化的广州模式（样本）；</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3.公共法律服务现代化的广州模式（样本）；</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both"/>
              <w:textAlignment w:val="auto"/>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4.其他方面建议。</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三、调研北京、上海、深圳、杭州等其他城市实现司法行政工作现代化的特色做法，并提出可供借鉴的成功经验。</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both"/>
              <w:textAlignment w:val="auto"/>
              <w:rPr>
                <w:rFonts w:hint="eastAsia" w:ascii="仿宋_GB2312" w:hAnsi="仿宋_GB2312" w:eastAsia="仿宋_GB2312" w:cs="仿宋_GB2312"/>
                <w:szCs w:val="21"/>
                <w:highlight w:val="none"/>
              </w:rPr>
            </w:pPr>
            <w:r>
              <w:rPr>
                <w:rFonts w:hint="eastAsia" w:ascii="仿宋_GB2312" w:hAnsi="仿宋_GB2312" w:eastAsia="仿宋_GB2312" w:cs="仿宋_GB2312"/>
                <w:color w:val="auto"/>
                <w:kern w:val="2"/>
                <w:sz w:val="24"/>
                <w:szCs w:val="24"/>
                <w:highlight w:val="none"/>
                <w:lang w:val="en-US" w:eastAsia="zh-CN" w:bidi="ar-SA"/>
              </w:rPr>
              <w:t>四、以进一步提升司法行政工作现代化，为中国式现代化提供高质量法治保障为目标，研究提出广州市从现在到</w:t>
            </w:r>
            <w:r>
              <w:rPr>
                <w:rFonts w:hint="default" w:ascii="Times New Roman" w:hAnsi="Times New Roman" w:eastAsia="仿宋_GB2312" w:cs="Times New Roman"/>
                <w:color w:val="auto"/>
                <w:kern w:val="2"/>
                <w:sz w:val="24"/>
                <w:szCs w:val="24"/>
                <w:highlight w:val="none"/>
                <w:lang w:val="en-US" w:eastAsia="zh-CN" w:bidi="ar-SA"/>
              </w:rPr>
              <w:t>2035</w:t>
            </w:r>
            <w:r>
              <w:rPr>
                <w:rFonts w:hint="eastAsia" w:ascii="仿宋_GB2312" w:hAnsi="仿宋_GB2312" w:eastAsia="仿宋_GB2312" w:cs="仿宋_GB2312"/>
                <w:color w:val="auto"/>
                <w:kern w:val="2"/>
                <w:sz w:val="24"/>
                <w:szCs w:val="24"/>
                <w:highlight w:val="none"/>
                <w:lang w:val="en-US" w:eastAsia="zh-CN" w:bidi="ar-SA"/>
              </w:rPr>
              <w:t>年司法行政工作现代化的总体规划，明确的工作目标、时间路线、改革举措和实现路径等规划设计，并形成相关规划方案。</w:t>
            </w:r>
          </w:p>
        </w:tc>
        <w:tc>
          <w:tcPr>
            <w:tcW w:w="531" w:type="pct"/>
            <w:vAlign w:val="center"/>
          </w:tcPr>
          <w:p>
            <w:pPr>
              <w:widowControl/>
              <w:spacing w:line="340" w:lineRule="exact"/>
              <w:ind w:firstLine="0" w:firstLineChars="0"/>
              <w:jc w:val="left"/>
              <w:rPr>
                <w:rStyle w:val="15"/>
                <w:rFonts w:hint="eastAsia" w:ascii="仿宋_GB2312" w:hAnsi="仿宋_GB2312" w:eastAsia="仿宋_GB2312" w:cs="仿宋_GB2312"/>
                <w:b w:val="0"/>
                <w:bCs w:val="0"/>
                <w:color w:val="000000"/>
                <w:kern w:val="0"/>
                <w:sz w:val="21"/>
                <w:szCs w:val="21"/>
                <w:highlight w:val="none"/>
                <w:shd w:val="clear" w:color="auto" w:fill="FFFFFF"/>
                <w:lang w:bidi="ar"/>
              </w:rPr>
            </w:pPr>
            <w:r>
              <w:rPr>
                <w:rFonts w:hint="eastAsia" w:ascii="仿宋_GB2312" w:hAnsi="仿宋_GB2312" w:eastAsia="仿宋_GB2312" w:cs="仿宋_GB2312"/>
                <w:color w:val="auto"/>
                <w:kern w:val="2"/>
                <w:sz w:val="24"/>
                <w:szCs w:val="24"/>
                <w:highlight w:val="none"/>
                <w:lang w:val="en-US" w:eastAsia="zh-CN" w:bidi="ar-SA"/>
              </w:rPr>
              <w:t>成果包括课题研究报告、规划方案建议稿、相关资料汇编等；根据课题研究需要开展调研，并组织召开一次研讨会等工作。</w:t>
            </w:r>
          </w:p>
        </w:tc>
        <w:tc>
          <w:tcPr>
            <w:tcW w:w="405" w:type="pct"/>
            <w:vAlign w:val="center"/>
          </w:tcPr>
          <w:p>
            <w:pPr>
              <w:widowControl/>
              <w:spacing w:line="340" w:lineRule="exact"/>
              <w:ind w:firstLine="0" w:firstLineChars="0"/>
              <w:jc w:val="left"/>
              <w:rPr>
                <w:rStyle w:val="15"/>
                <w:rFonts w:hint="eastAsia" w:ascii="仿宋_GB2312" w:hAnsi="仿宋_GB2312" w:eastAsia="仿宋_GB2312" w:cs="仿宋_GB2312"/>
                <w:b w:val="0"/>
                <w:bCs w:val="0"/>
                <w:color w:val="000000"/>
                <w:kern w:val="0"/>
                <w:sz w:val="21"/>
                <w:szCs w:val="21"/>
                <w:highlight w:val="none"/>
                <w:shd w:val="clear" w:color="auto" w:fill="FFFFFF"/>
                <w:lang w:eastAsia="zh-CN" w:bidi="ar"/>
              </w:rPr>
            </w:pPr>
            <w:r>
              <w:rPr>
                <w:rStyle w:val="15"/>
                <w:rFonts w:hint="eastAsia" w:ascii="仿宋_GB2312" w:hAnsi="仿宋_GB2312" w:eastAsia="仿宋_GB2312" w:cs="仿宋_GB2312"/>
                <w:b w:val="0"/>
                <w:bCs w:val="0"/>
                <w:color w:val="000000"/>
                <w:kern w:val="0"/>
                <w:sz w:val="24"/>
                <w:szCs w:val="24"/>
                <w:highlight w:val="none"/>
                <w:shd w:val="clear" w:color="auto" w:fill="FFFFFF"/>
                <w:lang w:eastAsia="zh-CN" w:bidi="ar"/>
              </w:rPr>
              <w:t>委托单位拨付，</w:t>
            </w:r>
            <w:r>
              <w:rPr>
                <w:rStyle w:val="15"/>
                <w:rFonts w:ascii="仿宋_GB2312" w:hAnsi="仿宋_GB2312" w:eastAsia="仿宋_GB2312" w:cs="仿宋_GB2312"/>
                <w:b w:val="0"/>
                <w:bCs w:val="0"/>
                <w:color w:val="000000"/>
                <w:kern w:val="0"/>
                <w:sz w:val="24"/>
                <w:szCs w:val="24"/>
                <w:highlight w:val="none"/>
                <w:shd w:val="clear" w:color="auto" w:fill="FFFFFF"/>
                <w:lang w:bidi="ar"/>
              </w:rPr>
              <w:t>1</w:t>
            </w:r>
            <w:r>
              <w:rPr>
                <w:rStyle w:val="15"/>
                <w:rFonts w:hint="eastAsia" w:ascii="仿宋_GB2312" w:hAnsi="仿宋_GB2312" w:eastAsia="仿宋_GB2312" w:cs="仿宋_GB2312"/>
                <w:b w:val="0"/>
                <w:bCs w:val="0"/>
                <w:color w:val="000000"/>
                <w:kern w:val="0"/>
                <w:sz w:val="24"/>
                <w:szCs w:val="24"/>
                <w:highlight w:val="none"/>
                <w:shd w:val="clear" w:color="auto" w:fill="FFFFFF"/>
                <w:lang w:eastAsia="zh-CN" w:bidi="ar"/>
              </w:rPr>
              <w:t>6</w:t>
            </w:r>
            <w:r>
              <w:rPr>
                <w:rStyle w:val="15"/>
                <w:rFonts w:ascii="仿宋_GB2312" w:hAnsi="仿宋_GB2312" w:eastAsia="仿宋_GB2312" w:cs="仿宋_GB2312"/>
                <w:b w:val="0"/>
                <w:bCs w:val="0"/>
                <w:color w:val="000000"/>
                <w:kern w:val="0"/>
                <w:sz w:val="24"/>
                <w:szCs w:val="24"/>
                <w:highlight w:val="none"/>
                <w:shd w:val="clear" w:color="auto" w:fill="FFFFFF"/>
                <w:lang w:bidi="ar"/>
              </w:rPr>
              <w:t>万元</w:t>
            </w:r>
            <w:r>
              <w:rPr>
                <w:rStyle w:val="15"/>
                <w:rFonts w:hint="eastAsia" w:ascii="仿宋_GB2312" w:hAnsi="仿宋_GB2312" w:eastAsia="仿宋_GB2312" w:cs="仿宋_GB2312"/>
                <w:b w:val="0"/>
                <w:bCs w:val="0"/>
                <w:color w:val="000000"/>
                <w:kern w:val="0"/>
                <w:sz w:val="24"/>
                <w:szCs w:val="24"/>
                <w:highlight w:val="none"/>
                <w:shd w:val="clear" w:color="auto" w:fill="FFFFFF"/>
                <w:lang w:eastAsia="zh-CN" w:bidi="ar"/>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8" w:hRule="atLeast"/>
          <w:tblHeader/>
          <w:jc w:val="center"/>
        </w:trPr>
        <w:tc>
          <w:tcPr>
            <w:tcW w:w="114" w:type="pct"/>
            <w:vAlign w:val="center"/>
          </w:tcPr>
          <w:p>
            <w:pPr>
              <w:pStyle w:val="21"/>
              <w:widowControl/>
              <w:numPr>
                <w:ilvl w:val="0"/>
                <w:numId w:val="1"/>
              </w:numPr>
              <w:spacing w:line="300" w:lineRule="exact"/>
              <w:ind w:firstLineChars="0"/>
              <w:jc w:val="center"/>
              <w:rPr>
                <w:rFonts w:hint="eastAsia" w:ascii="仿宋_GB2312" w:hAnsi="仿宋_GB2312" w:eastAsia="仿宋_GB2312" w:cs="仿宋_GB2312"/>
                <w:color w:val="000000"/>
                <w:kern w:val="0"/>
                <w:sz w:val="21"/>
                <w:szCs w:val="21"/>
                <w:highlight w:val="none"/>
              </w:rPr>
            </w:pPr>
          </w:p>
        </w:tc>
        <w:tc>
          <w:tcPr>
            <w:tcW w:w="265" w:type="pct"/>
            <w:vAlign w:val="center"/>
          </w:tcPr>
          <w:p>
            <w:pPr>
              <w:spacing w:line="240" w:lineRule="exact"/>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重点</w:t>
            </w:r>
          </w:p>
          <w:p>
            <w:pPr>
              <w:spacing w:line="240" w:lineRule="exact"/>
              <w:rPr>
                <w:rStyle w:val="15"/>
                <w:rFonts w:ascii="仿宋_GB2312" w:hAnsi="仿宋_GB2312" w:eastAsia="仿宋_GB2312" w:cs="仿宋_GB2312"/>
                <w:b w:val="0"/>
                <w:bCs w:val="0"/>
                <w:color w:val="000000"/>
                <w:kern w:val="0"/>
                <w:sz w:val="21"/>
                <w:szCs w:val="21"/>
                <w:highlight w:val="none"/>
                <w:shd w:val="clear" w:color="auto" w:fill="FFFFFF"/>
                <w:lang w:bidi="ar"/>
              </w:rPr>
            </w:pPr>
            <w:r>
              <w:rPr>
                <w:rFonts w:hint="eastAsia" w:ascii="仿宋_GB2312" w:hAnsi="仿宋_GB2312" w:eastAsia="仿宋_GB2312" w:cs="仿宋_GB2312"/>
                <w:highlight w:val="none"/>
                <w:lang w:eastAsia="zh-CN"/>
              </w:rPr>
              <w:t>课题</w:t>
            </w:r>
          </w:p>
        </w:tc>
        <w:tc>
          <w:tcPr>
            <w:tcW w:w="479" w:type="pct"/>
            <w:vAlign w:val="center"/>
          </w:tcPr>
          <w:p>
            <w:pPr>
              <w:keepNext w:val="0"/>
              <w:keepLines w:val="0"/>
              <w:pageBreakBefore w:val="0"/>
              <w:widowControl/>
              <w:kinsoku/>
              <w:wordWrap/>
              <w:overflowPunct/>
              <w:topLinePunct w:val="0"/>
              <w:autoSpaceDE/>
              <w:autoSpaceDN/>
              <w:bidi w:val="0"/>
              <w:spacing w:line="380" w:lineRule="exact"/>
              <w:jc w:val="left"/>
              <w:textAlignment w:val="auto"/>
              <w:rPr>
                <w:rStyle w:val="15"/>
                <w:rFonts w:hint="eastAsia" w:ascii="仿宋_GB2312" w:hAnsi="仿宋_GB2312" w:eastAsia="仿宋_GB2312" w:cs="仿宋_GB2312"/>
                <w:b w:val="0"/>
                <w:bCs/>
                <w:i w:val="0"/>
                <w:caps w:val="0"/>
                <w:color w:val="000000"/>
                <w:spacing w:val="0"/>
                <w:kern w:val="0"/>
                <w:sz w:val="21"/>
                <w:szCs w:val="21"/>
                <w:highlight w:val="none"/>
                <w:shd w:val="clear" w:color="auto" w:fill="FFFFFF"/>
                <w:lang w:val="en-US" w:eastAsia="zh-CN" w:bidi="ar"/>
              </w:rPr>
            </w:pPr>
            <w:r>
              <w:rPr>
                <w:rFonts w:hint="eastAsia" w:ascii="仿宋_GB2312" w:hAnsi="仿宋_GB2312" w:eastAsia="仿宋_GB2312" w:cs="仿宋_GB2312"/>
                <w:color w:val="auto"/>
                <w:kern w:val="2"/>
                <w:sz w:val="24"/>
                <w:szCs w:val="24"/>
                <w:highlight w:val="none"/>
                <w:lang w:val="en-US" w:eastAsia="zh-CN" w:bidi="ar-SA"/>
              </w:rPr>
              <w:t>双循环背景下提升广州市（南沙区）企业竞争力和抗风险能力的法律服务和法治保障研究</w:t>
            </w:r>
          </w:p>
        </w:tc>
        <w:tc>
          <w:tcPr>
            <w:tcW w:w="1292" w:type="pct"/>
            <w:vAlign w:val="center"/>
          </w:tcPr>
          <w:p>
            <w:pPr>
              <w:keepNext w:val="0"/>
              <w:keepLines w:val="0"/>
              <w:pageBreakBefore w:val="0"/>
              <w:widowControl/>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b w:val="0"/>
                <w:bCs w:val="0"/>
                <w:i w:val="0"/>
                <w:caps w:val="0"/>
                <w:spacing w:val="0"/>
                <w:kern w:val="2"/>
                <w:sz w:val="21"/>
                <w:szCs w:val="21"/>
                <w:highlight w:val="none"/>
                <w:shd w:val="clear"/>
                <w:lang w:val="en-US" w:eastAsia="zh-CN" w:bidi="ar"/>
              </w:rPr>
            </w:pPr>
            <w:r>
              <w:rPr>
                <w:rFonts w:hint="eastAsia" w:ascii="Times New Roman" w:hAnsi="Times New Roman" w:eastAsia="仿宋_GB2312" w:cs="Times New Roman"/>
                <w:color w:val="auto"/>
                <w:kern w:val="2"/>
                <w:sz w:val="24"/>
                <w:szCs w:val="24"/>
                <w:highlight w:val="none"/>
                <w:lang w:val="en-US" w:eastAsia="zh-CN" w:bidi="ar-SA"/>
              </w:rPr>
              <w:t>2022</w:t>
            </w:r>
            <w:r>
              <w:rPr>
                <w:rFonts w:hint="eastAsia" w:ascii="仿宋_GB2312" w:hAnsi="仿宋_GB2312" w:eastAsia="仿宋_GB2312" w:cs="仿宋_GB2312"/>
                <w:color w:val="auto"/>
                <w:kern w:val="2"/>
                <w:sz w:val="24"/>
                <w:szCs w:val="24"/>
                <w:highlight w:val="none"/>
                <w:lang w:val="en-US" w:eastAsia="zh-CN" w:bidi="ar-SA"/>
              </w:rPr>
              <w:t>年</w:t>
            </w:r>
            <w:r>
              <w:rPr>
                <w:rFonts w:hint="eastAsia" w:ascii="Times New Roman" w:hAnsi="Times New Roman" w:eastAsia="仿宋_GB2312" w:cs="Times New Roman"/>
                <w:color w:val="auto"/>
                <w:kern w:val="2"/>
                <w:sz w:val="24"/>
                <w:szCs w:val="24"/>
                <w:highlight w:val="none"/>
                <w:lang w:val="en-US" w:eastAsia="zh-CN" w:bidi="ar-SA"/>
              </w:rPr>
              <w:t>6</w:t>
            </w:r>
            <w:r>
              <w:rPr>
                <w:rFonts w:hint="eastAsia" w:ascii="仿宋_GB2312" w:hAnsi="仿宋_GB2312" w:eastAsia="仿宋_GB2312" w:cs="仿宋_GB2312"/>
                <w:color w:val="auto"/>
                <w:kern w:val="2"/>
                <w:sz w:val="24"/>
                <w:szCs w:val="24"/>
                <w:highlight w:val="none"/>
                <w:lang w:val="en-US" w:eastAsia="zh-CN" w:bidi="ar-SA"/>
              </w:rPr>
              <w:t>月国务院印发</w:t>
            </w:r>
            <w:r>
              <w:rPr>
                <w:rFonts w:hint="default" w:ascii="仿宋_GB2312" w:hAnsi="仿宋_GB2312" w:eastAsia="仿宋_GB2312" w:cs="仿宋_GB2312"/>
                <w:color w:val="auto"/>
                <w:kern w:val="2"/>
                <w:sz w:val="24"/>
                <w:szCs w:val="24"/>
                <w:highlight w:val="none"/>
                <w:lang w:val="en-US" w:eastAsia="zh-CN" w:bidi="ar-SA"/>
              </w:rPr>
              <w:t>《广州南沙深化面向世界的粤港澳全面合作总体方案》</w:t>
            </w:r>
            <w:r>
              <w:rPr>
                <w:rFonts w:hint="eastAsia" w:ascii="仿宋_GB2312" w:hAnsi="仿宋_GB2312" w:eastAsia="仿宋_GB2312" w:cs="仿宋_GB2312"/>
                <w:color w:val="auto"/>
                <w:kern w:val="2"/>
                <w:sz w:val="24"/>
                <w:szCs w:val="24"/>
                <w:highlight w:val="none"/>
                <w:lang w:val="en-US" w:eastAsia="zh-CN" w:bidi="ar-SA"/>
              </w:rPr>
              <w:t>，为南沙发展注入了新的强劲动力。《南沙方案》中提出“</w:t>
            </w:r>
            <w:r>
              <w:rPr>
                <w:rFonts w:hint="default" w:ascii="仿宋_GB2312" w:hAnsi="仿宋_GB2312" w:eastAsia="仿宋_GB2312" w:cs="仿宋_GB2312"/>
                <w:color w:val="auto"/>
                <w:kern w:val="2"/>
                <w:sz w:val="24"/>
                <w:szCs w:val="24"/>
                <w:highlight w:val="none"/>
                <w:lang w:val="en-US" w:eastAsia="zh-CN" w:bidi="ar-SA"/>
              </w:rPr>
              <w:t>共建高水平对外开放门户</w:t>
            </w:r>
            <w:r>
              <w:rPr>
                <w:rFonts w:hint="eastAsia" w:ascii="仿宋_GB2312" w:hAnsi="仿宋_GB2312" w:eastAsia="仿宋_GB2312" w:cs="仿宋_GB2312"/>
                <w:color w:val="auto"/>
                <w:kern w:val="2"/>
                <w:sz w:val="24"/>
                <w:szCs w:val="24"/>
                <w:highlight w:val="none"/>
                <w:lang w:val="en-US" w:eastAsia="zh-CN" w:bidi="ar-SA"/>
              </w:rPr>
              <w:t>。</w:t>
            </w:r>
            <w:r>
              <w:rPr>
                <w:rFonts w:hint="default" w:ascii="仿宋_GB2312" w:hAnsi="仿宋_GB2312" w:eastAsia="仿宋_GB2312" w:cs="仿宋_GB2312"/>
                <w:color w:val="auto"/>
                <w:kern w:val="2"/>
                <w:sz w:val="24"/>
                <w:szCs w:val="24"/>
                <w:highlight w:val="none"/>
                <w:lang w:val="en-US" w:eastAsia="zh-CN" w:bidi="ar-SA"/>
              </w:rPr>
              <w:t>建设中国企业“走出去”综合服务基地</w:t>
            </w:r>
            <w:r>
              <w:rPr>
                <w:rFonts w:hint="eastAsia" w:ascii="仿宋_GB2312" w:hAnsi="仿宋_GB2312" w:eastAsia="仿宋_GB2312" w:cs="仿宋_GB2312"/>
                <w:color w:val="auto"/>
                <w:kern w:val="2"/>
                <w:sz w:val="24"/>
                <w:szCs w:val="24"/>
                <w:highlight w:val="none"/>
                <w:lang w:val="en-US" w:eastAsia="zh-CN" w:bidi="ar-SA"/>
              </w:rPr>
              <w:t>”。在“双循环”背景下，特别是“后疫情时代”，如何贯彻落实《南沙方案》任务要求，助力广州市</w:t>
            </w:r>
            <w:r>
              <w:rPr>
                <w:rFonts w:hint="default" w:ascii="仿宋_GB2312" w:hAnsi="仿宋_GB2312" w:eastAsia="仿宋_GB2312" w:cs="仿宋_GB2312"/>
                <w:color w:val="auto"/>
                <w:kern w:val="2"/>
                <w:sz w:val="24"/>
                <w:szCs w:val="24"/>
                <w:highlight w:val="none"/>
                <w:lang w:val="en" w:eastAsia="zh-CN" w:bidi="ar-SA"/>
              </w:rPr>
              <w:t>,</w:t>
            </w:r>
            <w:r>
              <w:rPr>
                <w:rFonts w:hint="eastAsia" w:ascii="仿宋_GB2312" w:hAnsi="仿宋_GB2312" w:eastAsia="仿宋_GB2312" w:cs="仿宋_GB2312"/>
                <w:color w:val="auto"/>
                <w:kern w:val="2"/>
                <w:sz w:val="24"/>
                <w:szCs w:val="24"/>
                <w:highlight w:val="none"/>
                <w:lang w:val="en" w:eastAsia="zh-CN" w:bidi="ar-SA"/>
              </w:rPr>
              <w:t>特别是</w:t>
            </w:r>
            <w:r>
              <w:rPr>
                <w:rFonts w:hint="eastAsia" w:ascii="仿宋_GB2312" w:hAnsi="仿宋_GB2312" w:eastAsia="仿宋_GB2312" w:cs="仿宋_GB2312"/>
                <w:color w:val="auto"/>
                <w:kern w:val="2"/>
                <w:sz w:val="24"/>
                <w:szCs w:val="24"/>
                <w:highlight w:val="none"/>
                <w:lang w:val="en-US" w:eastAsia="zh-CN" w:bidi="ar-SA"/>
              </w:rPr>
              <w:t>南沙区</w:t>
            </w:r>
            <w:r>
              <w:rPr>
                <w:rFonts w:hint="eastAsia" w:ascii="仿宋_GB2312" w:hAnsi="仿宋_GB2312" w:eastAsia="仿宋_GB2312" w:cs="仿宋_GB2312"/>
                <w:color w:val="auto"/>
                <w:kern w:val="2"/>
                <w:sz w:val="24"/>
                <w:szCs w:val="24"/>
                <w:highlight w:val="none"/>
                <w:lang w:val="en" w:eastAsia="zh-CN" w:bidi="ar-SA"/>
              </w:rPr>
              <w:t>企业在</w:t>
            </w:r>
            <w:r>
              <w:rPr>
                <w:rFonts w:hint="eastAsia" w:ascii="仿宋_GB2312" w:hAnsi="仿宋_GB2312" w:eastAsia="仿宋_GB2312" w:cs="仿宋_GB2312"/>
                <w:color w:val="auto"/>
                <w:kern w:val="2"/>
                <w:sz w:val="24"/>
                <w:szCs w:val="24"/>
                <w:highlight w:val="none"/>
                <w:lang w:val="en-US" w:eastAsia="zh-CN" w:bidi="ar-SA"/>
              </w:rPr>
              <w:t>深度参与“双循环”中提升竞争力和抗风险能力是一个重要课题。因此，有必要以企业参与“双循环”面临的国际和国内法律问题为导向，深入研究分析当前在提升企业竞争力和抗风险能力法律服务和法治保障方面存在不足，从而提出有针对性的对策和建议，为推动以南沙为核心的粤港澳大湾区高质量建设提供</w:t>
            </w:r>
            <w:r>
              <w:rPr>
                <w:rFonts w:hint="default" w:ascii="仿宋_GB2312" w:hAnsi="仿宋_GB2312" w:eastAsia="仿宋_GB2312" w:cs="仿宋_GB2312"/>
                <w:color w:val="auto"/>
                <w:kern w:val="2"/>
                <w:sz w:val="24"/>
                <w:szCs w:val="24"/>
                <w:highlight w:val="none"/>
                <w:lang w:val="en-US" w:eastAsia="zh-CN" w:bidi="ar-SA"/>
              </w:rPr>
              <w:t>坚强法治保障</w:t>
            </w:r>
            <w:r>
              <w:rPr>
                <w:rFonts w:hint="eastAsia" w:ascii="仿宋_GB2312" w:hAnsi="仿宋_GB2312" w:eastAsia="仿宋_GB2312" w:cs="仿宋_GB2312"/>
                <w:color w:val="auto"/>
                <w:kern w:val="2"/>
                <w:sz w:val="24"/>
                <w:szCs w:val="24"/>
                <w:highlight w:val="none"/>
                <w:lang w:val="en-US" w:eastAsia="zh-CN" w:bidi="ar-SA"/>
              </w:rPr>
              <w:t>。</w:t>
            </w:r>
          </w:p>
        </w:tc>
        <w:tc>
          <w:tcPr>
            <w:tcW w:w="1910" w:type="pct"/>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80" w:firstLineChars="200"/>
              <w:jc w:val="both"/>
              <w:textAlignment w:val="auto"/>
              <w:rPr>
                <w:rFonts w:hint="eastAsia"/>
                <w:sz w:val="24"/>
                <w:szCs w:val="24"/>
                <w:highlight w:val="none"/>
                <w:lang w:val="en-US" w:eastAsia="zh-CN"/>
              </w:rPr>
            </w:pPr>
            <w:r>
              <w:rPr>
                <w:rFonts w:hint="eastAsia" w:ascii="仿宋_GB2312" w:hAnsi="仿宋_GB2312" w:eastAsia="仿宋_GB2312" w:cs="仿宋_GB2312"/>
                <w:color w:val="auto"/>
                <w:kern w:val="2"/>
                <w:sz w:val="24"/>
                <w:szCs w:val="24"/>
                <w:highlight w:val="none"/>
                <w:lang w:val="en-US" w:eastAsia="zh-CN" w:bidi="ar-SA"/>
              </w:rPr>
              <w:t>一、为贯彻落实《南沙方案》，在“双循环”背景下，开展提升广州市企业竞争力和抗风险能力的法律服务和法治保障研究的重要意义，并总结当前广州市，特别是南沙区在提升企业竞争力和抗风险能力方面的法律服务和法治保障的特色做法。</w:t>
            </w:r>
          </w:p>
          <w:p>
            <w:pPr>
              <w:keepNext w:val="0"/>
              <w:keepLines w:val="0"/>
              <w:pageBreakBefore w:val="0"/>
              <w:widowControl/>
              <w:kinsoku/>
              <w:wordWrap/>
              <w:overflowPunct/>
              <w:topLinePunct w:val="0"/>
              <w:autoSpaceDE/>
              <w:autoSpaceDN/>
              <w:bidi w:val="0"/>
              <w:adjustRightInd/>
              <w:snapToGrid/>
              <w:spacing w:line="38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二、分析</w:t>
            </w:r>
            <w:r>
              <w:rPr>
                <w:rFonts w:hint="default" w:ascii="仿宋_GB2312" w:hAnsi="仿宋_GB2312" w:eastAsia="仿宋_GB2312" w:cs="仿宋_GB2312"/>
                <w:color w:val="auto"/>
                <w:kern w:val="2"/>
                <w:sz w:val="24"/>
                <w:szCs w:val="24"/>
                <w:highlight w:val="none"/>
                <w:lang w:val="en" w:eastAsia="zh-CN" w:bidi="ar-SA"/>
              </w:rPr>
              <w:t>广州市</w:t>
            </w:r>
            <w:r>
              <w:rPr>
                <w:rFonts w:hint="eastAsia" w:ascii="仿宋_GB2312" w:hAnsi="仿宋_GB2312" w:eastAsia="仿宋_GB2312" w:cs="仿宋_GB2312"/>
                <w:color w:val="auto"/>
                <w:kern w:val="2"/>
                <w:sz w:val="24"/>
                <w:szCs w:val="24"/>
                <w:highlight w:val="none"/>
                <w:lang w:val="en" w:eastAsia="zh-CN" w:bidi="ar-SA"/>
              </w:rPr>
              <w:t>，特别是南沙区</w:t>
            </w:r>
            <w:r>
              <w:rPr>
                <w:rFonts w:hint="default" w:ascii="仿宋_GB2312" w:hAnsi="仿宋_GB2312" w:eastAsia="仿宋_GB2312" w:cs="仿宋_GB2312"/>
                <w:color w:val="auto"/>
                <w:kern w:val="2"/>
                <w:sz w:val="24"/>
                <w:szCs w:val="24"/>
                <w:highlight w:val="none"/>
                <w:lang w:val="en" w:eastAsia="zh-CN" w:bidi="ar-SA"/>
              </w:rPr>
              <w:t>企业</w:t>
            </w:r>
            <w:r>
              <w:rPr>
                <w:rFonts w:hint="eastAsia" w:ascii="仿宋_GB2312" w:hAnsi="仿宋_GB2312" w:eastAsia="仿宋_GB2312" w:cs="仿宋_GB2312"/>
                <w:color w:val="auto"/>
                <w:kern w:val="2"/>
                <w:sz w:val="24"/>
                <w:szCs w:val="24"/>
                <w:highlight w:val="none"/>
                <w:lang w:val="en-US" w:eastAsia="zh-CN" w:bidi="ar-SA"/>
              </w:rPr>
              <w:t>参与双循环面临国际法律问题，如审批风险、政府违约风险、法律规制缺失风险以及劳工法律风险等，以及针对上述问题，在法律服务和法治保障方面存在的不足；</w:t>
            </w:r>
          </w:p>
          <w:p>
            <w:pPr>
              <w:keepNext w:val="0"/>
              <w:keepLines w:val="0"/>
              <w:pageBreakBefore w:val="0"/>
              <w:widowControl/>
              <w:kinsoku/>
              <w:wordWrap/>
              <w:overflowPunct/>
              <w:topLinePunct w:val="0"/>
              <w:autoSpaceDE/>
              <w:autoSpaceDN/>
              <w:bidi w:val="0"/>
              <w:adjustRightInd/>
              <w:snapToGrid/>
              <w:spacing w:line="38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三、分析</w:t>
            </w:r>
            <w:r>
              <w:rPr>
                <w:rFonts w:hint="default" w:ascii="仿宋_GB2312" w:hAnsi="仿宋_GB2312" w:eastAsia="仿宋_GB2312" w:cs="仿宋_GB2312"/>
                <w:color w:val="auto"/>
                <w:kern w:val="2"/>
                <w:sz w:val="24"/>
                <w:szCs w:val="24"/>
                <w:highlight w:val="none"/>
                <w:lang w:val="en" w:eastAsia="zh-CN" w:bidi="ar-SA"/>
              </w:rPr>
              <w:t>广州市</w:t>
            </w:r>
            <w:r>
              <w:rPr>
                <w:rFonts w:hint="eastAsia" w:ascii="仿宋_GB2312" w:hAnsi="仿宋_GB2312" w:eastAsia="仿宋_GB2312" w:cs="仿宋_GB2312"/>
                <w:color w:val="auto"/>
                <w:kern w:val="2"/>
                <w:sz w:val="24"/>
                <w:szCs w:val="24"/>
                <w:highlight w:val="none"/>
                <w:lang w:val="en" w:eastAsia="zh-CN" w:bidi="ar-SA"/>
              </w:rPr>
              <w:t>，特别是南沙区</w:t>
            </w:r>
            <w:r>
              <w:rPr>
                <w:rFonts w:hint="default" w:ascii="仿宋_GB2312" w:hAnsi="仿宋_GB2312" w:eastAsia="仿宋_GB2312" w:cs="仿宋_GB2312"/>
                <w:color w:val="auto"/>
                <w:kern w:val="2"/>
                <w:sz w:val="24"/>
                <w:szCs w:val="24"/>
                <w:highlight w:val="none"/>
                <w:lang w:val="en" w:eastAsia="zh-CN" w:bidi="ar-SA"/>
              </w:rPr>
              <w:t>企业</w:t>
            </w:r>
            <w:r>
              <w:rPr>
                <w:rFonts w:hint="eastAsia" w:ascii="仿宋_GB2312" w:hAnsi="仿宋_GB2312" w:eastAsia="仿宋_GB2312" w:cs="仿宋_GB2312"/>
                <w:color w:val="auto"/>
                <w:kern w:val="2"/>
                <w:sz w:val="24"/>
                <w:szCs w:val="24"/>
                <w:highlight w:val="none"/>
                <w:lang w:val="en-US" w:eastAsia="zh-CN" w:bidi="ar-SA"/>
              </w:rPr>
              <w:t>参与双循环面临的国内法律问题，如营商环境法治化建设不足、涉外法律服务发展滞后、企业参与“双循环”法治意识不强等，以及针对上述问题，在法律服务和法治保障方面存在的不足；</w:t>
            </w:r>
          </w:p>
          <w:p>
            <w:pPr>
              <w:keepNext w:val="0"/>
              <w:keepLines w:val="0"/>
              <w:pageBreakBefore w:val="0"/>
              <w:widowControl/>
              <w:kinsoku/>
              <w:wordWrap/>
              <w:overflowPunct/>
              <w:topLinePunct w:val="0"/>
              <w:autoSpaceDE/>
              <w:autoSpaceDN/>
              <w:bidi w:val="0"/>
              <w:adjustRightInd/>
              <w:snapToGrid/>
              <w:spacing w:line="38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四、提炼国内外先进城市在提升企业竞争力和抗风险能力的法律服务和法治保障方面可供借鉴的成功做法。</w:t>
            </w:r>
          </w:p>
          <w:p>
            <w:pPr>
              <w:keepNext w:val="0"/>
              <w:keepLines w:val="0"/>
              <w:pageBreakBefore w:val="0"/>
              <w:widowControl/>
              <w:kinsoku/>
              <w:wordWrap/>
              <w:overflowPunct/>
              <w:topLinePunct w:val="0"/>
              <w:autoSpaceDE/>
              <w:autoSpaceDN/>
              <w:bidi w:val="0"/>
              <w:adjustRightInd/>
              <w:snapToGrid/>
              <w:spacing w:line="38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五、针对当前存在问题，研究提出进一步提升</w:t>
            </w:r>
            <w:r>
              <w:rPr>
                <w:rFonts w:hint="default" w:ascii="仿宋_GB2312" w:hAnsi="仿宋_GB2312" w:eastAsia="仿宋_GB2312" w:cs="仿宋_GB2312"/>
                <w:color w:val="auto"/>
                <w:kern w:val="2"/>
                <w:sz w:val="24"/>
                <w:szCs w:val="24"/>
                <w:highlight w:val="none"/>
                <w:lang w:val="en" w:eastAsia="zh-CN" w:bidi="ar-SA"/>
              </w:rPr>
              <w:t>广州市</w:t>
            </w:r>
            <w:r>
              <w:rPr>
                <w:rFonts w:hint="eastAsia" w:ascii="仿宋_GB2312" w:hAnsi="仿宋_GB2312" w:eastAsia="仿宋_GB2312" w:cs="仿宋_GB2312"/>
                <w:color w:val="auto"/>
                <w:kern w:val="2"/>
                <w:sz w:val="24"/>
                <w:szCs w:val="24"/>
                <w:highlight w:val="none"/>
                <w:lang w:val="en" w:eastAsia="zh-CN" w:bidi="ar-SA"/>
              </w:rPr>
              <w:t>，特别是南沙区</w:t>
            </w:r>
            <w:r>
              <w:rPr>
                <w:rFonts w:hint="default" w:ascii="仿宋_GB2312" w:hAnsi="仿宋_GB2312" w:eastAsia="仿宋_GB2312" w:cs="仿宋_GB2312"/>
                <w:color w:val="auto"/>
                <w:kern w:val="2"/>
                <w:sz w:val="24"/>
                <w:szCs w:val="24"/>
                <w:highlight w:val="none"/>
                <w:lang w:val="en" w:eastAsia="zh-CN" w:bidi="ar-SA"/>
              </w:rPr>
              <w:t>企业</w:t>
            </w:r>
            <w:r>
              <w:rPr>
                <w:rFonts w:hint="eastAsia" w:ascii="仿宋_GB2312" w:hAnsi="仿宋_GB2312" w:eastAsia="仿宋_GB2312" w:cs="仿宋_GB2312"/>
                <w:color w:val="auto"/>
                <w:kern w:val="2"/>
                <w:sz w:val="24"/>
                <w:szCs w:val="24"/>
                <w:highlight w:val="none"/>
                <w:lang w:val="en" w:eastAsia="zh-CN" w:bidi="ar-SA"/>
              </w:rPr>
              <w:t>竞争力和抗风险能力，</w:t>
            </w:r>
            <w:r>
              <w:rPr>
                <w:rFonts w:hint="eastAsia" w:ascii="仿宋_GB2312" w:hAnsi="仿宋_GB2312" w:eastAsia="仿宋_GB2312" w:cs="仿宋_GB2312"/>
                <w:color w:val="auto"/>
                <w:kern w:val="2"/>
                <w:sz w:val="24"/>
                <w:szCs w:val="24"/>
                <w:highlight w:val="none"/>
                <w:lang w:val="en-US" w:eastAsia="zh-CN" w:bidi="ar-SA"/>
              </w:rPr>
              <w:t>在高水平高要求建设南沙法律服务集聚区，推动以南沙为核心的粤港澳大湾区高质量建设方面的创新制度举措。</w:t>
            </w:r>
          </w:p>
          <w:p>
            <w:pPr>
              <w:keepNext w:val="0"/>
              <w:keepLines w:val="0"/>
              <w:pageBreakBefore w:val="0"/>
              <w:widowControl/>
              <w:kinsoku/>
              <w:wordWrap/>
              <w:overflowPunct/>
              <w:topLinePunct w:val="0"/>
              <w:autoSpaceDE/>
              <w:autoSpaceDN/>
              <w:bidi w:val="0"/>
              <w:adjustRightInd/>
              <w:snapToGrid/>
              <w:spacing w:line="380" w:lineRule="exact"/>
              <w:ind w:firstLine="420" w:firstLineChars="200"/>
              <w:jc w:val="both"/>
              <w:textAlignment w:val="auto"/>
              <w:rPr>
                <w:rFonts w:hint="eastAsia" w:ascii="仿宋_GB2312" w:hAnsi="仿宋_GB2312" w:eastAsia="仿宋_GB2312" w:cs="仿宋_GB2312"/>
                <w:szCs w:val="21"/>
                <w:highlight w:val="none"/>
              </w:rPr>
            </w:pPr>
          </w:p>
        </w:tc>
        <w:tc>
          <w:tcPr>
            <w:tcW w:w="531" w:type="pct"/>
            <w:vAlign w:val="center"/>
          </w:tcPr>
          <w:p>
            <w:pPr>
              <w:widowControl/>
              <w:spacing w:line="320" w:lineRule="exact"/>
              <w:ind w:firstLine="0" w:firstLineChars="0"/>
              <w:jc w:val="left"/>
              <w:rPr>
                <w:rStyle w:val="15"/>
                <w:rFonts w:hint="eastAsia" w:ascii="仿宋_GB2312" w:hAnsi="仿宋_GB2312" w:eastAsia="仿宋_GB2312" w:cs="仿宋_GB2312"/>
                <w:b w:val="0"/>
                <w:bCs w:val="0"/>
                <w:color w:val="000000"/>
                <w:kern w:val="0"/>
                <w:sz w:val="24"/>
                <w:szCs w:val="24"/>
                <w:highlight w:val="none"/>
                <w:shd w:val="clear" w:color="auto" w:fill="FFFFFF"/>
                <w:lang w:bidi="ar"/>
              </w:rPr>
            </w:pPr>
            <w:r>
              <w:rPr>
                <w:rFonts w:hint="eastAsia" w:ascii="仿宋_GB2312" w:hAnsi="仿宋_GB2312" w:eastAsia="仿宋_GB2312" w:cs="仿宋_GB2312"/>
                <w:color w:val="auto"/>
                <w:kern w:val="2"/>
                <w:sz w:val="24"/>
                <w:szCs w:val="24"/>
                <w:highlight w:val="none"/>
                <w:lang w:val="en-US" w:eastAsia="zh-CN" w:bidi="ar-SA"/>
              </w:rPr>
              <w:t>成果包括课题研究报告、资料汇编等；根据课题研究需要开展调研等工作。</w:t>
            </w:r>
          </w:p>
        </w:tc>
        <w:tc>
          <w:tcPr>
            <w:tcW w:w="405" w:type="pct"/>
            <w:vAlign w:val="center"/>
          </w:tcPr>
          <w:p>
            <w:pPr>
              <w:widowControl/>
              <w:spacing w:line="320" w:lineRule="exact"/>
              <w:ind w:firstLine="0" w:firstLineChars="0"/>
              <w:jc w:val="left"/>
              <w:rPr>
                <w:rStyle w:val="15"/>
                <w:rFonts w:hint="eastAsia" w:ascii="仿宋_GB2312" w:hAnsi="仿宋_GB2312" w:eastAsia="仿宋_GB2312" w:cs="仿宋_GB2312"/>
                <w:b w:val="0"/>
                <w:bCs w:val="0"/>
                <w:color w:val="000000"/>
                <w:kern w:val="0"/>
                <w:sz w:val="24"/>
                <w:szCs w:val="24"/>
                <w:highlight w:val="none"/>
                <w:shd w:val="clear" w:color="auto" w:fill="FFFFFF"/>
                <w:lang w:eastAsia="zh-CN" w:bidi="ar"/>
              </w:rPr>
            </w:pPr>
            <w:r>
              <w:rPr>
                <w:rStyle w:val="15"/>
                <w:rFonts w:hint="eastAsia" w:ascii="仿宋_GB2312" w:hAnsi="仿宋_GB2312" w:eastAsia="仿宋_GB2312" w:cs="仿宋_GB2312"/>
                <w:b w:val="0"/>
                <w:bCs w:val="0"/>
                <w:color w:val="000000"/>
                <w:kern w:val="0"/>
                <w:sz w:val="24"/>
                <w:szCs w:val="24"/>
                <w:highlight w:val="none"/>
                <w:shd w:val="clear" w:color="auto" w:fill="FFFFFF"/>
                <w:lang w:eastAsia="zh-CN" w:bidi="ar"/>
              </w:rPr>
              <w:t>委托单位拨付，</w:t>
            </w:r>
            <w:r>
              <w:rPr>
                <w:rStyle w:val="15"/>
                <w:rFonts w:hint="eastAsia" w:ascii="仿宋_GB2312" w:hAnsi="仿宋_GB2312" w:eastAsia="仿宋_GB2312" w:cs="仿宋_GB2312"/>
                <w:b w:val="0"/>
                <w:bCs w:val="0"/>
                <w:color w:val="000000"/>
                <w:kern w:val="0"/>
                <w:sz w:val="24"/>
                <w:szCs w:val="24"/>
                <w:highlight w:val="none"/>
                <w:shd w:val="clear" w:color="auto" w:fill="FFFFFF"/>
                <w:lang w:val="en-US" w:eastAsia="zh-CN" w:bidi="ar"/>
              </w:rPr>
              <w:t>10</w:t>
            </w:r>
            <w:r>
              <w:rPr>
                <w:rStyle w:val="15"/>
                <w:rFonts w:ascii="仿宋_GB2312" w:hAnsi="仿宋_GB2312" w:eastAsia="仿宋_GB2312" w:cs="仿宋_GB2312"/>
                <w:b w:val="0"/>
                <w:bCs w:val="0"/>
                <w:color w:val="000000"/>
                <w:kern w:val="0"/>
                <w:sz w:val="24"/>
                <w:szCs w:val="24"/>
                <w:highlight w:val="none"/>
                <w:shd w:val="clear" w:color="auto" w:fill="FFFFFF"/>
                <w:lang w:bidi="ar"/>
              </w:rPr>
              <w:t>万元</w:t>
            </w:r>
            <w:r>
              <w:rPr>
                <w:rStyle w:val="15"/>
                <w:rFonts w:hint="eastAsia" w:ascii="仿宋_GB2312" w:hAnsi="仿宋_GB2312" w:eastAsia="仿宋_GB2312" w:cs="仿宋_GB2312"/>
                <w:b w:val="0"/>
                <w:bCs w:val="0"/>
                <w:color w:val="000000"/>
                <w:kern w:val="0"/>
                <w:sz w:val="24"/>
                <w:szCs w:val="24"/>
                <w:highlight w:val="none"/>
                <w:shd w:val="clear" w:color="auto" w:fill="FFFFFF"/>
                <w:lang w:eastAsia="zh-CN" w:bidi="ar"/>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1" w:hRule="atLeast"/>
          <w:tblHeader/>
          <w:jc w:val="center"/>
        </w:trPr>
        <w:tc>
          <w:tcPr>
            <w:tcW w:w="114" w:type="pct"/>
            <w:vAlign w:val="center"/>
          </w:tcPr>
          <w:p>
            <w:pPr>
              <w:pStyle w:val="21"/>
              <w:widowControl/>
              <w:numPr>
                <w:ilvl w:val="0"/>
                <w:numId w:val="1"/>
              </w:numPr>
              <w:spacing w:line="300" w:lineRule="exact"/>
              <w:ind w:firstLineChars="0"/>
              <w:jc w:val="center"/>
              <w:rPr>
                <w:rFonts w:hint="eastAsia" w:ascii="仿宋_GB2312" w:hAnsi="仿宋_GB2312" w:eastAsia="仿宋_GB2312" w:cs="仿宋_GB2312"/>
                <w:color w:val="000000"/>
                <w:kern w:val="0"/>
                <w:sz w:val="24"/>
                <w:szCs w:val="28"/>
                <w:highlight w:val="none"/>
              </w:rPr>
            </w:pPr>
          </w:p>
        </w:tc>
        <w:tc>
          <w:tcPr>
            <w:tcW w:w="265" w:type="pct"/>
            <w:vAlign w:val="center"/>
          </w:tcPr>
          <w:p>
            <w:pPr>
              <w:spacing w:line="240" w:lineRule="exact"/>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重点</w:t>
            </w:r>
          </w:p>
          <w:p>
            <w:pPr>
              <w:spacing w:line="240" w:lineRule="exact"/>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lang w:eastAsia="zh-CN"/>
              </w:rPr>
              <w:t>课题</w:t>
            </w:r>
          </w:p>
        </w:tc>
        <w:tc>
          <w:tcPr>
            <w:tcW w:w="479" w:type="pct"/>
            <w:vAlign w:val="center"/>
          </w:tcPr>
          <w:p>
            <w:pPr>
              <w:keepNext w:val="0"/>
              <w:keepLines w:val="0"/>
              <w:pageBreakBefore w:val="0"/>
              <w:widowControl/>
              <w:kinsoku/>
              <w:wordWrap/>
              <w:overflowPunct/>
              <w:topLinePunct w:val="0"/>
              <w:autoSpaceDE/>
              <w:autoSpaceDN/>
              <w:bidi w:val="0"/>
              <w:spacing w:line="380" w:lineRule="exact"/>
              <w:jc w:val="left"/>
              <w:textAlignment w:val="auto"/>
              <w:rPr>
                <w:rFonts w:hint="eastAsia" w:ascii="仿宋_GB2312" w:hAnsi="仿宋_GB2312" w:eastAsia="仿宋_GB2312" w:cs="仿宋_GB2312"/>
                <w:szCs w:val="21"/>
                <w:highlight w:val="none"/>
              </w:rPr>
            </w:pPr>
            <w:r>
              <w:rPr>
                <w:rFonts w:hint="eastAsia" w:ascii="仿宋_GB2312" w:hAnsi="仿宋_GB2312" w:eastAsia="仿宋_GB2312" w:cs="仿宋_GB2312"/>
                <w:color w:val="auto"/>
                <w:kern w:val="2"/>
                <w:sz w:val="24"/>
                <w:szCs w:val="24"/>
                <w:highlight w:val="none"/>
                <w:lang w:val="en-US" w:eastAsia="zh-CN" w:bidi="ar-SA"/>
              </w:rPr>
              <w:t>广州市法治镇（街道）指标体系深化研究</w:t>
            </w:r>
          </w:p>
        </w:tc>
        <w:tc>
          <w:tcPr>
            <w:tcW w:w="1292" w:type="pct"/>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 xml:space="preserve">习近平总书记指出“全面推进依法治国，推进国家治理体系和治理能力现代化，工作的基础在基层”，强调要“更加注重系统观念、法治思维、强基导向”“更加重视基层基础工作，充分发挥共建共治共享在基层的作用，推进市域社会治理现代化”，为基层法治建设指明了前进方向，提供了根本遵循。  </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2020</w:t>
            </w:r>
            <w:r>
              <w:rPr>
                <w:rFonts w:hint="eastAsia" w:ascii="仿宋_GB2312" w:hAnsi="仿宋_GB2312" w:eastAsia="仿宋_GB2312" w:cs="仿宋_GB2312"/>
                <w:color w:val="auto"/>
                <w:kern w:val="2"/>
                <w:sz w:val="24"/>
                <w:szCs w:val="24"/>
                <w:highlight w:val="none"/>
                <w:lang w:val="en-US" w:eastAsia="zh-CN" w:bidi="ar-SA"/>
              </w:rPr>
              <w:t>年，中央全面依法治国工作会议对加强基层法治建设作出重要部署。《法治中国建设规划（</w:t>
            </w:r>
            <w:r>
              <w:rPr>
                <w:rFonts w:hint="eastAsia" w:ascii="Times New Roman" w:hAnsi="Times New Roman" w:eastAsia="仿宋_GB2312" w:cs="Times New Roman"/>
                <w:color w:val="auto"/>
                <w:kern w:val="2"/>
                <w:sz w:val="24"/>
                <w:szCs w:val="24"/>
                <w:highlight w:val="none"/>
                <w:lang w:val="en-US" w:eastAsia="zh-CN" w:bidi="ar-SA"/>
              </w:rPr>
              <w:t>2020-2025</w:t>
            </w:r>
            <w:r>
              <w:rPr>
                <w:rFonts w:hint="eastAsia" w:ascii="仿宋_GB2312" w:hAnsi="仿宋_GB2312" w:eastAsia="仿宋_GB2312" w:cs="仿宋_GB2312"/>
                <w:color w:val="auto"/>
                <w:kern w:val="2"/>
                <w:sz w:val="24"/>
                <w:szCs w:val="24"/>
                <w:highlight w:val="none"/>
                <w:lang w:val="en-US" w:eastAsia="zh-CN" w:bidi="ar-SA"/>
              </w:rPr>
              <w:t>年）》《法治政府建设实施纲要（</w:t>
            </w:r>
            <w:r>
              <w:rPr>
                <w:rFonts w:hint="eastAsia" w:ascii="Times New Roman" w:hAnsi="Times New Roman" w:eastAsia="仿宋_GB2312" w:cs="Times New Roman"/>
                <w:color w:val="auto"/>
                <w:kern w:val="2"/>
                <w:sz w:val="24"/>
                <w:szCs w:val="24"/>
                <w:highlight w:val="none"/>
                <w:lang w:val="en-US" w:eastAsia="zh-CN" w:bidi="ar-SA"/>
              </w:rPr>
              <w:t>2021-2025</w:t>
            </w:r>
            <w:r>
              <w:rPr>
                <w:rFonts w:hint="eastAsia" w:ascii="仿宋_GB2312" w:hAnsi="仿宋_GB2312" w:eastAsia="仿宋_GB2312" w:cs="仿宋_GB2312"/>
                <w:color w:val="auto"/>
                <w:kern w:val="2"/>
                <w:sz w:val="24"/>
                <w:szCs w:val="24"/>
                <w:highlight w:val="none"/>
                <w:lang w:val="en-US" w:eastAsia="zh-CN" w:bidi="ar-SA"/>
              </w:rPr>
              <w:t>年）》和《法治社会建设实施纲要（</w:t>
            </w:r>
            <w:r>
              <w:rPr>
                <w:rFonts w:hint="eastAsia" w:ascii="Times New Roman" w:hAnsi="Times New Roman" w:eastAsia="仿宋_GB2312" w:cs="Times New Roman"/>
                <w:color w:val="auto"/>
                <w:kern w:val="2"/>
                <w:sz w:val="24"/>
                <w:szCs w:val="24"/>
                <w:highlight w:val="none"/>
                <w:lang w:val="en-US" w:eastAsia="zh-CN" w:bidi="ar-SA"/>
              </w:rPr>
              <w:t>2020-2025</w:t>
            </w:r>
            <w:r>
              <w:rPr>
                <w:rFonts w:hint="eastAsia" w:ascii="仿宋_GB2312" w:hAnsi="仿宋_GB2312" w:eastAsia="仿宋_GB2312" w:cs="仿宋_GB2312"/>
                <w:color w:val="auto"/>
                <w:kern w:val="2"/>
                <w:sz w:val="24"/>
                <w:szCs w:val="24"/>
                <w:highlight w:val="none"/>
                <w:lang w:val="en-US" w:eastAsia="zh-CN" w:bidi="ar-SA"/>
              </w:rPr>
              <w:t>年）》，对基层法治建设任务提出明确要求。加强市县法治建设，是确保全面依法治国各项部署要求在基层落地落实的关键，是推进基层治理体系和治理能力现代化的重要保障。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ascii="仿宋_GB2312" w:hAnsi="仿宋_GB2312" w:eastAsia="仿宋_GB2312" w:cs="仿宋_GB2312"/>
                <w:szCs w:val="21"/>
                <w:highlight w:val="none"/>
              </w:rPr>
            </w:pPr>
            <w:r>
              <w:rPr>
                <w:rFonts w:hint="eastAsia" w:ascii="仿宋_GB2312" w:hAnsi="仿宋_GB2312" w:eastAsia="仿宋_GB2312" w:cs="仿宋_GB2312"/>
                <w:color w:val="auto"/>
                <w:kern w:val="2"/>
                <w:sz w:val="24"/>
                <w:szCs w:val="24"/>
                <w:highlight w:val="none"/>
                <w:lang w:val="en-US" w:eastAsia="zh-CN" w:bidi="ar-SA"/>
              </w:rPr>
              <w:t>为深入贯彻落实习近平总书记关于市县法治建设的要求，有必要对广州市法治镇（街道）指标体系进行深入研究分析。同时，在全面总结广州市市县法治建设实践经验基础上，深化广州市法治镇（街道）指标体系，为进一步推进广州市市县法治建设指明方向。</w:t>
            </w:r>
          </w:p>
        </w:tc>
        <w:tc>
          <w:tcPr>
            <w:tcW w:w="1910" w:type="pct"/>
            <w:vAlign w:val="center"/>
          </w:tcPr>
          <w:p>
            <w:pPr>
              <w:keepNext w:val="0"/>
              <w:keepLines w:val="0"/>
              <w:pageBreakBefore w:val="0"/>
              <w:widowControl/>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color w:val="auto"/>
                <w:kern w:val="2"/>
                <w:sz w:val="24"/>
                <w:szCs w:val="24"/>
                <w:highlight w:val="none"/>
                <w:lang w:val="en-US" w:eastAsia="zh-CN" w:bidi="ar-SA"/>
              </w:rPr>
            </w:pPr>
          </w:p>
          <w:p>
            <w:pPr>
              <w:keepNext w:val="0"/>
              <w:keepLines w:val="0"/>
              <w:pageBreakBefore w:val="0"/>
              <w:widowControl/>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一、归纳汇总广州市法治镇（街道）指标体系的应用现状，并研究分析下一步促进市县法治建设的重点。</w:t>
            </w:r>
          </w:p>
          <w:p>
            <w:pPr>
              <w:keepNext w:val="0"/>
              <w:keepLines w:val="0"/>
              <w:pageBreakBefore w:val="0"/>
              <w:widowControl/>
              <w:kinsoku/>
              <w:wordWrap/>
              <w:overflowPunct/>
              <w:topLinePunct w:val="0"/>
              <w:autoSpaceDE/>
              <w:autoSpaceDN/>
              <w:bidi w:val="0"/>
              <w:spacing w:line="380" w:lineRule="exact"/>
              <w:ind w:firstLine="480" w:firstLineChars="200"/>
              <w:jc w:val="left"/>
              <w:textAlignment w:val="auto"/>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二、广州市在应用广州市法治镇（街道）指标体系促进市县法治建设方面存在的问题。</w:t>
            </w:r>
          </w:p>
          <w:p>
            <w:pPr>
              <w:keepNext w:val="0"/>
              <w:keepLines w:val="0"/>
              <w:pageBreakBefore w:val="0"/>
              <w:widowControl/>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三、调研北京、上海等其他城市的特色做法，并提出可供借鉴的成功经验。</w:t>
            </w:r>
          </w:p>
          <w:p>
            <w:pPr>
              <w:keepNext w:val="0"/>
              <w:keepLines w:val="0"/>
              <w:pageBreakBefore w:val="0"/>
              <w:widowControl/>
              <w:kinsoku/>
              <w:wordWrap/>
              <w:overflowPunct/>
              <w:topLinePunct w:val="0"/>
              <w:autoSpaceDE/>
              <w:autoSpaceDN/>
              <w:bidi w:val="0"/>
              <w:spacing w:line="380" w:lineRule="exact"/>
              <w:ind w:firstLine="480" w:firstLineChars="200"/>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四、根据国家、省关于加强市县法治建设的相关要求，以进一步提升市县法治建设水平，为中国式现代化提供高质量法治保障为目标，研究细化完善广州市法治镇（街道）指标体系。</w:t>
            </w:r>
          </w:p>
          <w:p>
            <w:pPr>
              <w:keepNext w:val="0"/>
              <w:keepLines w:val="0"/>
              <w:pageBreakBefore w:val="0"/>
              <w:widowControl/>
              <w:kinsoku/>
              <w:wordWrap/>
              <w:overflowPunct/>
              <w:topLinePunct w:val="0"/>
              <w:autoSpaceDE/>
              <w:autoSpaceDN/>
              <w:bidi w:val="0"/>
              <w:spacing w:line="380" w:lineRule="exact"/>
              <w:ind w:firstLine="420" w:firstLineChars="200"/>
              <w:jc w:val="left"/>
              <w:textAlignment w:val="auto"/>
              <w:rPr>
                <w:rFonts w:hint="eastAsia" w:ascii="仿宋_GB2312" w:hAnsi="仿宋_GB2312" w:eastAsia="仿宋_GB2312" w:cs="仿宋_GB2312"/>
                <w:szCs w:val="21"/>
                <w:highlight w:val="none"/>
              </w:rPr>
            </w:pPr>
          </w:p>
        </w:tc>
        <w:tc>
          <w:tcPr>
            <w:tcW w:w="531" w:type="pct"/>
            <w:vAlign w:val="center"/>
          </w:tcPr>
          <w:p>
            <w:pPr>
              <w:widowControl/>
              <w:spacing w:line="320" w:lineRule="exact"/>
              <w:ind w:firstLine="0" w:firstLineChars="0"/>
              <w:jc w:val="left"/>
              <w:rPr>
                <w:rStyle w:val="15"/>
                <w:rFonts w:hint="eastAsia" w:ascii="仿宋_GB2312" w:hAnsi="仿宋_GB2312" w:eastAsia="仿宋_GB2312" w:cs="仿宋_GB2312"/>
                <w:b w:val="0"/>
                <w:bCs w:val="0"/>
                <w:color w:val="000000"/>
                <w:kern w:val="0"/>
                <w:sz w:val="24"/>
                <w:szCs w:val="24"/>
                <w:highlight w:val="none"/>
                <w:shd w:val="clear" w:color="auto" w:fill="FFFFFF"/>
                <w:lang w:bidi="ar"/>
              </w:rPr>
            </w:pPr>
            <w:r>
              <w:rPr>
                <w:rFonts w:hint="eastAsia" w:ascii="仿宋_GB2312" w:hAnsi="仿宋_GB2312" w:eastAsia="仿宋_GB2312" w:cs="仿宋_GB2312"/>
                <w:color w:val="auto"/>
                <w:kern w:val="2"/>
                <w:sz w:val="24"/>
                <w:szCs w:val="24"/>
                <w:highlight w:val="none"/>
                <w:lang w:val="en-US" w:eastAsia="zh-CN" w:bidi="ar-SA"/>
              </w:rPr>
              <w:t>成果包括课题研究报告、广州市法治镇（街道）指标体系细化建议稿、相关资料汇编等；根据课题研究需要开展调研，并组织召开研讨会等工作。</w:t>
            </w:r>
          </w:p>
        </w:tc>
        <w:tc>
          <w:tcPr>
            <w:tcW w:w="405" w:type="pct"/>
            <w:vAlign w:val="center"/>
          </w:tcPr>
          <w:p>
            <w:pPr>
              <w:widowControl/>
              <w:spacing w:line="320" w:lineRule="exact"/>
              <w:ind w:firstLine="0" w:firstLineChars="0"/>
              <w:jc w:val="left"/>
              <w:rPr>
                <w:rStyle w:val="15"/>
                <w:rFonts w:hint="eastAsia" w:ascii="仿宋_GB2312" w:hAnsi="仿宋_GB2312" w:eastAsia="仿宋_GB2312" w:cs="仿宋_GB2312"/>
                <w:b w:val="0"/>
                <w:bCs w:val="0"/>
                <w:color w:val="000000"/>
                <w:kern w:val="0"/>
                <w:sz w:val="24"/>
                <w:szCs w:val="24"/>
                <w:highlight w:val="none"/>
                <w:shd w:val="clear" w:color="auto" w:fill="FFFFFF"/>
                <w:lang w:bidi="ar"/>
              </w:rPr>
            </w:pPr>
            <w:r>
              <w:rPr>
                <w:rStyle w:val="15"/>
                <w:rFonts w:hint="eastAsia" w:ascii="仿宋_GB2312" w:hAnsi="仿宋_GB2312" w:eastAsia="仿宋_GB2312" w:cs="仿宋_GB2312"/>
                <w:b w:val="0"/>
                <w:bCs w:val="0"/>
                <w:color w:val="000000"/>
                <w:kern w:val="0"/>
                <w:sz w:val="24"/>
                <w:szCs w:val="24"/>
                <w:highlight w:val="none"/>
                <w:shd w:val="clear" w:color="auto" w:fill="FFFFFF"/>
                <w:lang w:eastAsia="zh-CN" w:bidi="ar"/>
              </w:rPr>
              <w:t>委托单位拨付，</w:t>
            </w:r>
            <w:r>
              <w:rPr>
                <w:rStyle w:val="15"/>
                <w:rFonts w:hint="eastAsia" w:ascii="仿宋_GB2312" w:hAnsi="仿宋_GB2312" w:eastAsia="仿宋_GB2312" w:cs="仿宋_GB2312"/>
                <w:b w:val="0"/>
                <w:bCs w:val="0"/>
                <w:color w:val="000000"/>
                <w:kern w:val="0"/>
                <w:sz w:val="24"/>
                <w:szCs w:val="24"/>
                <w:highlight w:val="none"/>
                <w:shd w:val="clear" w:color="auto" w:fill="FFFFFF"/>
                <w:lang w:val="en-US" w:eastAsia="zh-CN" w:bidi="ar"/>
              </w:rPr>
              <w:t>10</w:t>
            </w:r>
            <w:r>
              <w:rPr>
                <w:rStyle w:val="15"/>
                <w:rFonts w:ascii="仿宋_GB2312" w:hAnsi="仿宋_GB2312" w:eastAsia="仿宋_GB2312" w:cs="仿宋_GB2312"/>
                <w:b w:val="0"/>
                <w:bCs w:val="0"/>
                <w:color w:val="000000"/>
                <w:kern w:val="0"/>
                <w:sz w:val="24"/>
                <w:szCs w:val="24"/>
                <w:highlight w:val="none"/>
                <w:shd w:val="clear" w:color="auto" w:fill="FFFFFF"/>
                <w:lang w:bidi="ar"/>
              </w:rPr>
              <w:t>万元</w:t>
            </w:r>
            <w:r>
              <w:rPr>
                <w:rStyle w:val="15"/>
                <w:rFonts w:hint="eastAsia" w:ascii="仿宋_GB2312" w:hAnsi="仿宋_GB2312" w:eastAsia="仿宋_GB2312" w:cs="仿宋_GB2312"/>
                <w:b w:val="0"/>
                <w:bCs w:val="0"/>
                <w:color w:val="000000"/>
                <w:kern w:val="0"/>
                <w:sz w:val="24"/>
                <w:szCs w:val="24"/>
                <w:highlight w:val="none"/>
                <w:shd w:val="clear" w:color="auto" w:fill="FFFFFF"/>
                <w:lang w:eastAsia="zh-CN" w:bidi="ar"/>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114" w:type="pct"/>
            <w:vAlign w:val="center"/>
          </w:tcPr>
          <w:p>
            <w:pPr>
              <w:pStyle w:val="21"/>
              <w:widowControl/>
              <w:numPr>
                <w:ilvl w:val="0"/>
                <w:numId w:val="1"/>
              </w:numPr>
              <w:spacing w:line="300" w:lineRule="exact"/>
              <w:ind w:firstLineChars="0"/>
              <w:jc w:val="center"/>
              <w:rPr>
                <w:rFonts w:hint="eastAsia" w:ascii="仿宋_GB2312" w:hAnsi="仿宋_GB2312" w:eastAsia="仿宋_GB2312" w:cs="仿宋_GB2312"/>
                <w:color w:val="000000"/>
                <w:kern w:val="0"/>
                <w:sz w:val="24"/>
                <w:szCs w:val="28"/>
                <w:highlight w:val="none"/>
              </w:rPr>
            </w:pPr>
          </w:p>
        </w:tc>
        <w:tc>
          <w:tcPr>
            <w:tcW w:w="265" w:type="pct"/>
            <w:vAlign w:val="center"/>
          </w:tcPr>
          <w:p>
            <w:pPr>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一般</w:t>
            </w:r>
          </w:p>
          <w:p>
            <w:pPr>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课题</w:t>
            </w:r>
          </w:p>
        </w:tc>
        <w:tc>
          <w:tcPr>
            <w:tcW w:w="479" w:type="pct"/>
            <w:vAlign w:val="center"/>
          </w:tcPr>
          <w:p>
            <w:pPr>
              <w:keepNext w:val="0"/>
              <w:keepLines w:val="0"/>
              <w:pageBreakBefore w:val="0"/>
              <w:widowControl/>
              <w:kinsoku/>
              <w:wordWrap/>
              <w:overflowPunct/>
              <w:topLinePunct w:val="0"/>
              <w:autoSpaceDE/>
              <w:autoSpaceDN/>
              <w:bidi w:val="0"/>
              <w:spacing w:line="380" w:lineRule="exact"/>
              <w:jc w:val="left"/>
              <w:textAlignment w:val="auto"/>
              <w:rPr>
                <w:rFonts w:hint="eastAsia" w:ascii="仿宋_GB2312" w:hAnsi="仿宋_GB2312" w:eastAsia="仿宋_GB2312" w:cs="仿宋_GB2312"/>
                <w:szCs w:val="21"/>
                <w:highlight w:val="none"/>
              </w:rPr>
            </w:pPr>
            <w:r>
              <w:rPr>
                <w:rFonts w:hint="eastAsia" w:ascii="仿宋_GB2312" w:hAnsi="仿宋_GB2312" w:eastAsia="仿宋_GB2312" w:cs="仿宋_GB2312"/>
                <w:b w:val="0"/>
                <w:bCs w:val="0"/>
                <w:i w:val="0"/>
                <w:iCs w:val="0"/>
                <w:caps w:val="0"/>
                <w:color w:val="auto"/>
                <w:spacing w:val="0"/>
                <w:sz w:val="24"/>
                <w:szCs w:val="24"/>
                <w:highlight w:val="none"/>
                <w:shd w:val="clear"/>
                <w:lang w:val="en-US" w:eastAsia="zh-CN"/>
              </w:rPr>
              <w:t>全力</w:t>
            </w:r>
            <w:r>
              <w:rPr>
                <w:rFonts w:hint="eastAsia" w:ascii="仿宋_GB2312" w:hAnsi="仿宋_GB2312" w:eastAsia="仿宋_GB2312" w:cs="仿宋_GB2312"/>
                <w:b w:val="0"/>
                <w:bCs w:val="0"/>
                <w:i w:val="0"/>
                <w:iCs w:val="0"/>
                <w:caps w:val="0"/>
                <w:color w:val="auto"/>
                <w:spacing w:val="0"/>
                <w:sz w:val="24"/>
                <w:szCs w:val="24"/>
                <w:highlight w:val="none"/>
                <w:shd w:val="clear"/>
              </w:rPr>
              <w:t>构建全生态法律服务体系</w:t>
            </w:r>
            <w:r>
              <w:rPr>
                <w:rFonts w:hint="eastAsia" w:ascii="仿宋_GB2312" w:hAnsi="仿宋_GB2312" w:eastAsia="仿宋_GB2312" w:cs="仿宋_GB2312"/>
                <w:b w:val="0"/>
                <w:bCs w:val="0"/>
                <w:i w:val="0"/>
                <w:iCs w:val="0"/>
                <w:caps w:val="0"/>
                <w:color w:val="auto"/>
                <w:spacing w:val="0"/>
                <w:sz w:val="24"/>
                <w:szCs w:val="24"/>
                <w:highlight w:val="none"/>
                <w:shd w:val="clear"/>
                <w:lang w:val="en-US" w:eastAsia="zh-CN"/>
              </w:rPr>
              <w:t>以助力广州市高质量发展——</w:t>
            </w:r>
            <w:r>
              <w:rPr>
                <w:rFonts w:hint="eastAsia" w:ascii="仿宋_GB2312" w:hAnsi="仿宋_GB2312" w:eastAsia="仿宋_GB2312" w:cs="仿宋_GB2312"/>
                <w:color w:val="auto"/>
                <w:kern w:val="2"/>
                <w:sz w:val="24"/>
                <w:szCs w:val="24"/>
                <w:highlight w:val="none"/>
                <w:lang w:val="en-US" w:eastAsia="zh-CN" w:bidi="ar-SA"/>
              </w:rPr>
              <w:t>加快推进广州湾区中央法务区建设规划研究</w:t>
            </w:r>
          </w:p>
        </w:tc>
        <w:tc>
          <w:tcPr>
            <w:tcW w:w="1292" w:type="pct"/>
            <w:vAlign w:val="center"/>
          </w:tcPr>
          <w:p>
            <w:pPr>
              <w:pStyle w:val="2"/>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340" w:lineRule="exact"/>
              <w:ind w:firstLine="480" w:firstLineChars="200"/>
              <w:jc w:val="left"/>
              <w:textAlignment w:val="auto"/>
              <w:rPr>
                <w:rStyle w:val="26"/>
                <w:rFonts w:hint="eastAsia" w:ascii="Calibri" w:hAnsi="Calibri" w:eastAsia="仿宋_GB2312"/>
                <w:b w:val="0"/>
                <w:i w:val="0"/>
                <w:caps w:val="0"/>
                <w:color w:val="000000"/>
                <w:spacing w:val="0"/>
                <w:w w:val="100"/>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在国家大力推进粤港澳大湾区建设，</w:t>
            </w:r>
            <w:r>
              <w:rPr>
                <w:rFonts w:hint="default" w:ascii="仿宋_GB2312" w:hAnsi="仿宋_GB2312" w:eastAsia="仿宋_GB2312" w:cs="仿宋_GB2312"/>
                <w:color w:val="auto"/>
                <w:kern w:val="2"/>
                <w:sz w:val="24"/>
                <w:szCs w:val="24"/>
                <w:highlight w:val="none"/>
                <w:lang w:val="en-US" w:eastAsia="zh-CN" w:bidi="ar-SA"/>
              </w:rPr>
              <w:t>《南沙方案》</w:t>
            </w:r>
            <w:r>
              <w:rPr>
                <w:rFonts w:hint="eastAsia" w:ascii="仿宋_GB2312" w:hAnsi="仿宋_GB2312" w:eastAsia="仿宋_GB2312" w:cs="仿宋_GB2312"/>
                <w:color w:val="auto"/>
                <w:kern w:val="2"/>
                <w:sz w:val="24"/>
                <w:szCs w:val="24"/>
                <w:highlight w:val="none"/>
                <w:lang w:val="en-US" w:eastAsia="zh-CN" w:bidi="ar-SA"/>
              </w:rPr>
              <w:t>重大战略</w:t>
            </w:r>
            <w:r>
              <w:rPr>
                <w:rFonts w:hint="eastAsia" w:eastAsia="仿宋_GB2312" w:cstheme="minorBidi"/>
                <w:i w:val="0"/>
                <w:iCs w:val="0"/>
                <w:caps w:val="0"/>
                <w:spacing w:val="0"/>
                <w:sz w:val="24"/>
                <w:szCs w:val="24"/>
                <w:highlight w:val="none"/>
                <w:shd w:val="clear"/>
                <w:lang w:val="en-US" w:eastAsia="zh-CN"/>
              </w:rPr>
              <w:t>落地广州南沙之际</w:t>
            </w:r>
            <w:r>
              <w:rPr>
                <w:rFonts w:ascii="Calibri" w:hAnsi="Calibri" w:eastAsia="仿宋_GB2312" w:cstheme="minorBidi"/>
                <w:i w:val="0"/>
                <w:iCs w:val="0"/>
                <w:caps w:val="0"/>
                <w:color w:val="000000"/>
                <w:spacing w:val="0"/>
                <w:sz w:val="24"/>
                <w:szCs w:val="24"/>
                <w:highlight w:val="none"/>
                <w:shd w:val="clear" w:fill="auto"/>
              </w:rPr>
              <w:t>，</w:t>
            </w:r>
            <w:r>
              <w:rPr>
                <w:rFonts w:hint="eastAsia" w:eastAsia="仿宋_GB2312" w:cstheme="minorBidi"/>
                <w:i w:val="0"/>
                <w:iCs w:val="0"/>
                <w:caps w:val="0"/>
                <w:spacing w:val="0"/>
                <w:sz w:val="24"/>
                <w:szCs w:val="24"/>
                <w:highlight w:val="none"/>
                <w:shd w:val="clear"/>
                <w:lang w:val="en-US" w:eastAsia="zh-CN"/>
              </w:rPr>
              <w:t>立足</w:t>
            </w:r>
            <w:r>
              <w:rPr>
                <w:rFonts w:ascii="Calibri" w:hAnsi="Calibri" w:eastAsia="仿宋_GB2312" w:cstheme="minorBidi"/>
                <w:i w:val="0"/>
                <w:iCs w:val="0"/>
                <w:caps w:val="0"/>
                <w:spacing w:val="0"/>
                <w:sz w:val="24"/>
                <w:szCs w:val="24"/>
                <w:highlight w:val="none"/>
                <w:shd w:val="clear"/>
              </w:rPr>
              <w:t>全力构建全生态法律服务体系</w:t>
            </w:r>
            <w:r>
              <w:rPr>
                <w:rFonts w:hint="eastAsia" w:eastAsia="仿宋_GB2312" w:cstheme="minorBidi"/>
                <w:i w:val="0"/>
                <w:iCs w:val="0"/>
                <w:caps w:val="0"/>
                <w:spacing w:val="0"/>
                <w:sz w:val="24"/>
                <w:szCs w:val="24"/>
                <w:highlight w:val="none"/>
                <w:shd w:val="clear"/>
                <w:lang w:val="en-US" w:eastAsia="zh-CN"/>
              </w:rPr>
              <w:t>以</w:t>
            </w:r>
            <w:r>
              <w:rPr>
                <w:rStyle w:val="26"/>
                <w:rFonts w:ascii="Calibri" w:hAnsi="仿宋_GB2312" w:eastAsia="仿宋_GB2312"/>
                <w:b w:val="0"/>
                <w:i w:val="0"/>
                <w:caps w:val="0"/>
                <w:spacing w:val="0"/>
                <w:w w:val="100"/>
                <w:kern w:val="2"/>
                <w:sz w:val="24"/>
                <w:szCs w:val="24"/>
                <w:highlight w:val="none"/>
                <w:lang w:val="en-US" w:eastAsia="zh-CN" w:bidi="ar-SA"/>
              </w:rPr>
              <w:t>助力广州</w:t>
            </w:r>
            <w:r>
              <w:rPr>
                <w:rStyle w:val="26"/>
                <w:rFonts w:hint="eastAsia" w:hAnsi="仿宋_GB2312" w:eastAsia="仿宋_GB2312"/>
                <w:b w:val="0"/>
                <w:i w:val="0"/>
                <w:caps w:val="0"/>
                <w:spacing w:val="0"/>
                <w:w w:val="100"/>
                <w:kern w:val="2"/>
                <w:sz w:val="24"/>
                <w:szCs w:val="24"/>
                <w:highlight w:val="none"/>
                <w:lang w:val="en-US" w:eastAsia="zh-CN" w:bidi="ar-SA"/>
              </w:rPr>
              <w:t>市</w:t>
            </w:r>
            <w:r>
              <w:rPr>
                <w:rStyle w:val="26"/>
                <w:rFonts w:ascii="Calibri" w:hAnsi="仿宋_GB2312" w:eastAsia="仿宋_GB2312"/>
                <w:b w:val="0"/>
                <w:i w:val="0"/>
                <w:caps w:val="0"/>
                <w:spacing w:val="0"/>
                <w:w w:val="100"/>
                <w:kern w:val="2"/>
                <w:sz w:val="24"/>
                <w:szCs w:val="24"/>
                <w:highlight w:val="none"/>
                <w:lang w:val="en-US" w:eastAsia="zh-CN" w:bidi="ar-SA"/>
              </w:rPr>
              <w:t>建设成为最安全稳定、最公平公正、法治环境最好的国际大都市</w:t>
            </w:r>
            <w:r>
              <w:rPr>
                <w:rStyle w:val="26"/>
                <w:rFonts w:hint="eastAsia" w:hAnsi="仿宋_GB2312" w:eastAsia="仿宋_GB2312"/>
                <w:b w:val="0"/>
                <w:i w:val="0"/>
                <w:caps w:val="0"/>
                <w:spacing w:val="0"/>
                <w:w w:val="100"/>
                <w:kern w:val="2"/>
                <w:sz w:val="24"/>
                <w:szCs w:val="24"/>
                <w:highlight w:val="none"/>
                <w:lang w:val="en-US" w:eastAsia="zh-CN" w:bidi="ar-SA"/>
              </w:rPr>
              <w:t>，有必要对如何</w:t>
            </w:r>
            <w:r>
              <w:rPr>
                <w:rStyle w:val="26"/>
                <w:rFonts w:hint="eastAsia" w:ascii="Arial" w:hAnsi="仿宋_GB2312" w:eastAsia="仿宋_GB2312" w:cs="Times New Roman"/>
                <w:i w:val="0"/>
                <w:iCs w:val="0"/>
                <w:caps w:val="0"/>
                <w:color w:val="222222"/>
                <w:spacing w:val="0"/>
                <w:kern w:val="2"/>
                <w:sz w:val="24"/>
                <w:szCs w:val="24"/>
                <w:highlight w:val="none"/>
                <w:shd w:val="clear" w:fill="FFFFFF"/>
              </w:rPr>
              <w:t>加快推进广州湾区中央法务区建设</w:t>
            </w:r>
            <w:r>
              <w:rPr>
                <w:rStyle w:val="26"/>
                <w:rFonts w:hint="eastAsia" w:hAnsi="仿宋_GB2312" w:eastAsia="仿宋_GB2312" w:cs="Times New Roman"/>
                <w:kern w:val="2"/>
                <w:sz w:val="24"/>
                <w:szCs w:val="24"/>
                <w:highlight w:val="none"/>
              </w:rPr>
              <w:t>，</w:t>
            </w:r>
            <w:r>
              <w:rPr>
                <w:rFonts w:ascii="Calibri" w:hAnsi="Calibri" w:eastAsia="仿宋_GB2312" w:cstheme="minorBidi"/>
                <w:i w:val="0"/>
                <w:iCs w:val="0"/>
                <w:caps w:val="0"/>
                <w:color w:val="222222"/>
                <w:spacing w:val="0"/>
                <w:sz w:val="24"/>
                <w:szCs w:val="24"/>
                <w:highlight w:val="none"/>
                <w:shd w:val="clear" w:fill="auto"/>
              </w:rPr>
              <w:t>将其打造成立足广州地区、牵引广东全域、辐射粤港澳大湾区、面向世界的一流中央法务区</w:t>
            </w:r>
            <w:r>
              <w:rPr>
                <w:rFonts w:hint="eastAsia" w:eastAsia="仿宋_GB2312" w:cstheme="minorBidi"/>
                <w:i w:val="0"/>
                <w:iCs w:val="0"/>
                <w:caps w:val="0"/>
                <w:spacing w:val="0"/>
                <w:sz w:val="24"/>
                <w:szCs w:val="24"/>
                <w:highlight w:val="none"/>
                <w:shd w:val="clear"/>
                <w:lang w:val="en-US" w:eastAsia="zh-CN"/>
              </w:rPr>
              <w:t>开展深入研究。一方面在全面总结现有实践成果基础上，研究分析目前中央法务区建设存在的问题和薄弱环节等，并</w:t>
            </w:r>
            <w:r>
              <w:rPr>
                <w:rStyle w:val="26"/>
                <w:rFonts w:hint="eastAsia" w:eastAsia="仿宋_GB2312"/>
                <w:b w:val="0"/>
                <w:i w:val="0"/>
                <w:caps w:val="0"/>
                <w:color w:val="000000"/>
                <w:spacing w:val="0"/>
                <w:w w:val="100"/>
                <w:kern w:val="2"/>
                <w:sz w:val="24"/>
                <w:szCs w:val="24"/>
                <w:highlight w:val="none"/>
                <w:lang w:val="en-US" w:eastAsia="zh-CN" w:bidi="ar-SA"/>
              </w:rPr>
              <w:t>提出具有创新性特色性可操作性的制度设计、工作举措等对策建议</w:t>
            </w:r>
            <w:r>
              <w:rPr>
                <w:rFonts w:hint="eastAsia" w:eastAsia="仿宋_GB2312" w:cstheme="minorBidi"/>
                <w:i w:val="0"/>
                <w:iCs w:val="0"/>
                <w:caps w:val="0"/>
                <w:spacing w:val="0"/>
                <w:sz w:val="24"/>
                <w:szCs w:val="24"/>
                <w:highlight w:val="none"/>
                <w:shd w:val="clear"/>
                <w:lang w:val="en-US" w:eastAsia="zh-CN"/>
              </w:rPr>
              <w:t>；另一方面通过借鉴国内外法律服务集聚区建设的成功经验，</w:t>
            </w:r>
            <w:r>
              <w:rPr>
                <w:rStyle w:val="26"/>
                <w:rFonts w:hint="eastAsia" w:ascii="Calibri" w:hAnsi="Calibri" w:eastAsia="仿宋_GB2312"/>
                <w:b w:val="0"/>
                <w:i w:val="0"/>
                <w:caps w:val="0"/>
                <w:color w:val="000000"/>
                <w:spacing w:val="0"/>
                <w:w w:val="100"/>
                <w:kern w:val="2"/>
                <w:sz w:val="24"/>
                <w:szCs w:val="24"/>
                <w:highlight w:val="none"/>
                <w:lang w:val="en-US" w:eastAsia="zh-CN" w:bidi="ar-SA"/>
              </w:rPr>
              <w:t>探索</w:t>
            </w:r>
            <w:r>
              <w:rPr>
                <w:rStyle w:val="26"/>
                <w:rFonts w:hint="eastAsia" w:eastAsia="仿宋_GB2312"/>
                <w:b w:val="0"/>
                <w:i w:val="0"/>
                <w:caps w:val="0"/>
                <w:color w:val="000000"/>
                <w:spacing w:val="0"/>
                <w:w w:val="100"/>
                <w:kern w:val="2"/>
                <w:sz w:val="24"/>
                <w:szCs w:val="24"/>
                <w:highlight w:val="none"/>
                <w:lang w:val="en-US" w:eastAsia="zh-CN" w:bidi="ar-SA"/>
              </w:rPr>
              <w:t>提出广州湾区</w:t>
            </w:r>
            <w:r>
              <w:rPr>
                <w:rStyle w:val="26"/>
                <w:rFonts w:hint="eastAsia" w:ascii="Calibri" w:hAnsi="Calibri" w:eastAsia="仿宋_GB2312"/>
                <w:b w:val="0"/>
                <w:i w:val="0"/>
                <w:caps w:val="0"/>
                <w:color w:val="000000"/>
                <w:spacing w:val="0"/>
                <w:w w:val="100"/>
                <w:kern w:val="2"/>
                <w:sz w:val="24"/>
                <w:szCs w:val="24"/>
                <w:highlight w:val="none"/>
                <w:lang w:val="en-US" w:eastAsia="zh-CN" w:bidi="ar-SA"/>
              </w:rPr>
              <w:t>中央法务区</w:t>
            </w:r>
            <w:r>
              <w:rPr>
                <w:rStyle w:val="26"/>
                <w:rFonts w:hint="eastAsia" w:eastAsia="仿宋_GB2312"/>
                <w:b w:val="0"/>
                <w:i w:val="0"/>
                <w:caps w:val="0"/>
                <w:color w:val="000000"/>
                <w:spacing w:val="0"/>
                <w:w w:val="100"/>
                <w:kern w:val="2"/>
                <w:sz w:val="24"/>
                <w:szCs w:val="24"/>
                <w:highlight w:val="none"/>
                <w:lang w:val="en-US" w:eastAsia="zh-CN" w:bidi="ar-SA"/>
              </w:rPr>
              <w:t>从现在到2035年的建设规划方案，为描绘中央法务区建设蓝图，并将蓝图细化为具体的路线图、任务书以及时间表提供智力支持。</w:t>
            </w:r>
          </w:p>
          <w:p>
            <w:pPr>
              <w:widowControl/>
              <w:spacing w:line="340" w:lineRule="exact"/>
              <w:ind w:firstLine="560" w:firstLineChars="0"/>
              <w:jc w:val="left"/>
              <w:rPr>
                <w:rFonts w:hint="eastAsia" w:ascii="仿宋_GB2312" w:hAnsi="仿宋_GB2312" w:eastAsia="仿宋_GB2312" w:cs="仿宋_GB2312"/>
                <w:szCs w:val="21"/>
                <w:highlight w:val="none"/>
              </w:rPr>
            </w:pPr>
          </w:p>
        </w:tc>
        <w:tc>
          <w:tcPr>
            <w:tcW w:w="1910" w:type="pct"/>
            <w:vAlign w:val="center"/>
          </w:tcPr>
          <w:p>
            <w:pPr>
              <w:numPr>
                <w:ilvl w:val="0"/>
                <w:numId w:val="2"/>
              </w:numPr>
              <w:spacing w:line="34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系统总结广州湾区中央法务区建设现状，提炼“一中心三片区”（白云中心区、天河高端片区、南沙国际片区、海珠云上片区）建设具有各自特色的实践成果。</w:t>
            </w:r>
          </w:p>
          <w:p>
            <w:pPr>
              <w:numPr>
                <w:ilvl w:val="0"/>
                <w:numId w:val="3"/>
              </w:numPr>
              <w:spacing w:line="34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全面调研和分析广州湾区中央法务区建设中存在问题、薄弱环节以及建设需求，</w:t>
            </w:r>
            <w:r>
              <w:rPr>
                <w:rStyle w:val="26"/>
                <w:rFonts w:hint="eastAsia" w:eastAsia="仿宋_GB2312"/>
                <w:b w:val="0"/>
                <w:i w:val="0"/>
                <w:caps w:val="0"/>
                <w:color w:val="000000"/>
                <w:spacing w:val="0"/>
                <w:w w:val="100"/>
                <w:kern w:val="2"/>
                <w:sz w:val="24"/>
                <w:szCs w:val="24"/>
                <w:highlight w:val="none"/>
                <w:lang w:val="en-US" w:eastAsia="zh-CN" w:bidi="ar-SA"/>
              </w:rPr>
              <w:t>具有创新性特色性可操作性的制度设计、工作举措等对策建议。包括但不限于以下内容：</w:t>
            </w:r>
          </w:p>
          <w:p>
            <w:pPr>
              <w:numPr>
                <w:ilvl w:val="0"/>
                <w:numId w:val="0"/>
              </w:numPr>
              <w:spacing w:line="340" w:lineRule="exact"/>
              <w:jc w:val="both"/>
              <w:textAlignment w:val="auto"/>
              <w:rPr>
                <w:rStyle w:val="26"/>
                <w:rFonts w:hint="eastAsia" w:eastAsia="仿宋_GB2312"/>
                <w:b w:val="0"/>
                <w:i w:val="0"/>
                <w:caps w:val="0"/>
                <w:color w:val="000000"/>
                <w:spacing w:val="0"/>
                <w:w w:val="100"/>
                <w:kern w:val="2"/>
                <w:sz w:val="24"/>
                <w:szCs w:val="24"/>
                <w:highlight w:val="none"/>
                <w:lang w:val="en-US" w:eastAsia="zh-CN" w:bidi="ar-SA"/>
              </w:rPr>
            </w:pPr>
            <w:r>
              <w:rPr>
                <w:rStyle w:val="26"/>
                <w:rFonts w:hint="eastAsia" w:eastAsia="仿宋_GB2312"/>
                <w:b w:val="0"/>
                <w:i w:val="0"/>
                <w:caps w:val="0"/>
                <w:color w:val="000000"/>
                <w:spacing w:val="0"/>
                <w:w w:val="100"/>
                <w:kern w:val="2"/>
                <w:sz w:val="24"/>
                <w:szCs w:val="24"/>
                <w:highlight w:val="none"/>
                <w:lang w:val="en-US" w:eastAsia="zh-CN" w:bidi="ar-SA"/>
              </w:rPr>
              <w:t>　　1.法律服务与产业发展深度融合，加强法治保障体系服务产业经济发展力度的对策建议；</w:t>
            </w:r>
          </w:p>
          <w:p>
            <w:pPr>
              <w:numPr>
                <w:ilvl w:val="0"/>
                <w:numId w:val="0"/>
              </w:numPr>
              <w:spacing w:line="340" w:lineRule="exact"/>
              <w:jc w:val="both"/>
              <w:textAlignment w:val="auto"/>
              <w:rPr>
                <w:rStyle w:val="26"/>
                <w:rFonts w:hint="eastAsia" w:eastAsia="仿宋_GB2312"/>
                <w:b w:val="0"/>
                <w:i w:val="0"/>
                <w:caps w:val="0"/>
                <w:color w:val="000000"/>
                <w:spacing w:val="0"/>
                <w:w w:val="100"/>
                <w:kern w:val="2"/>
                <w:sz w:val="24"/>
                <w:szCs w:val="24"/>
                <w:highlight w:val="none"/>
                <w:lang w:val="en-US" w:eastAsia="zh-CN" w:bidi="ar-SA"/>
              </w:rPr>
            </w:pPr>
            <w:r>
              <w:rPr>
                <w:rStyle w:val="26"/>
                <w:rFonts w:hint="eastAsia" w:eastAsia="仿宋_GB2312"/>
                <w:b w:val="0"/>
                <w:i w:val="0"/>
                <w:caps w:val="0"/>
                <w:color w:val="000000"/>
                <w:spacing w:val="0"/>
                <w:w w:val="100"/>
                <w:kern w:val="2"/>
                <w:sz w:val="24"/>
                <w:szCs w:val="24"/>
                <w:highlight w:val="none"/>
                <w:lang w:val="en-US" w:eastAsia="zh-CN" w:bidi="ar-SA"/>
              </w:rPr>
              <w:t>　　2.白云、天河、南沙、海珠等片区错位发展，深化湾区法律服务特色品牌效应的对策建议；</w:t>
            </w:r>
          </w:p>
          <w:p>
            <w:pPr>
              <w:numPr>
                <w:ilvl w:val="0"/>
                <w:numId w:val="0"/>
              </w:numPr>
              <w:spacing w:line="340" w:lineRule="exact"/>
              <w:jc w:val="both"/>
              <w:textAlignment w:val="auto"/>
              <w:rPr>
                <w:rStyle w:val="26"/>
                <w:rFonts w:hint="default" w:eastAsia="仿宋_GB2312"/>
                <w:b w:val="0"/>
                <w:i w:val="0"/>
                <w:caps w:val="0"/>
                <w:color w:val="000000"/>
                <w:spacing w:val="0"/>
                <w:w w:val="100"/>
                <w:kern w:val="2"/>
                <w:sz w:val="24"/>
                <w:szCs w:val="24"/>
                <w:highlight w:val="none"/>
                <w:lang w:val="en-US" w:eastAsia="zh-CN" w:bidi="ar-SA"/>
              </w:rPr>
            </w:pPr>
            <w:r>
              <w:rPr>
                <w:rStyle w:val="26"/>
                <w:rFonts w:hint="eastAsia" w:eastAsia="仿宋_GB2312"/>
                <w:b w:val="0"/>
                <w:i w:val="0"/>
                <w:caps w:val="0"/>
                <w:color w:val="000000"/>
                <w:spacing w:val="0"/>
                <w:w w:val="100"/>
                <w:kern w:val="2"/>
                <w:sz w:val="24"/>
                <w:szCs w:val="24"/>
                <w:highlight w:val="none"/>
                <w:lang w:val="en-US" w:eastAsia="zh-CN" w:bidi="ar-SA"/>
              </w:rPr>
              <w:t>　　3.加强法治化营商环境建设，助力广州建设国家营商环境创新试点城市的对策建议；</w:t>
            </w:r>
          </w:p>
          <w:p>
            <w:pPr>
              <w:numPr>
                <w:ilvl w:val="0"/>
                <w:numId w:val="0"/>
              </w:numPr>
              <w:spacing w:line="340" w:lineRule="exact"/>
              <w:jc w:val="both"/>
              <w:textAlignment w:val="auto"/>
              <w:rPr>
                <w:rStyle w:val="26"/>
                <w:rFonts w:hint="default" w:eastAsia="仿宋_GB2312"/>
                <w:b w:val="0"/>
                <w:i w:val="0"/>
                <w:caps w:val="0"/>
                <w:color w:val="000000"/>
                <w:spacing w:val="0"/>
                <w:w w:val="100"/>
                <w:kern w:val="2"/>
                <w:sz w:val="24"/>
                <w:szCs w:val="24"/>
                <w:highlight w:val="none"/>
                <w:lang w:val="en-US" w:eastAsia="zh-CN" w:bidi="ar-SA"/>
              </w:rPr>
            </w:pPr>
            <w:r>
              <w:rPr>
                <w:rStyle w:val="26"/>
                <w:rFonts w:hint="eastAsia" w:eastAsia="仿宋_GB2312"/>
                <w:b w:val="0"/>
                <w:i w:val="0"/>
                <w:caps w:val="0"/>
                <w:color w:val="000000"/>
                <w:spacing w:val="0"/>
                <w:w w:val="100"/>
                <w:kern w:val="2"/>
                <w:sz w:val="24"/>
                <w:szCs w:val="24"/>
                <w:highlight w:val="none"/>
                <w:lang w:val="en-US" w:eastAsia="zh-CN" w:bidi="ar-SA"/>
              </w:rPr>
              <w:t>　　4.中央法务区在制度供给等软环境以及基础设施等硬环境建设需求的对策建议；</w:t>
            </w:r>
          </w:p>
          <w:p>
            <w:pPr>
              <w:numPr>
                <w:ilvl w:val="0"/>
                <w:numId w:val="0"/>
              </w:numPr>
              <w:spacing w:line="340" w:lineRule="exact"/>
              <w:jc w:val="both"/>
              <w:textAlignment w:val="auto"/>
              <w:rPr>
                <w:rStyle w:val="26"/>
                <w:rFonts w:hint="default" w:eastAsia="仿宋_GB2312"/>
                <w:b w:val="0"/>
                <w:i w:val="0"/>
                <w:caps w:val="0"/>
                <w:color w:val="000000"/>
                <w:spacing w:val="0"/>
                <w:w w:val="100"/>
                <w:kern w:val="2"/>
                <w:sz w:val="24"/>
                <w:szCs w:val="24"/>
                <w:highlight w:val="none"/>
                <w:lang w:val="en-US" w:eastAsia="zh-CN" w:bidi="ar-SA"/>
              </w:rPr>
            </w:pPr>
            <w:r>
              <w:rPr>
                <w:rStyle w:val="26"/>
                <w:rFonts w:hint="eastAsia" w:eastAsia="仿宋_GB2312"/>
                <w:b w:val="0"/>
                <w:i w:val="0"/>
                <w:caps w:val="0"/>
                <w:color w:val="000000"/>
                <w:spacing w:val="0"/>
                <w:w w:val="100"/>
                <w:kern w:val="2"/>
                <w:sz w:val="24"/>
                <w:szCs w:val="24"/>
                <w:highlight w:val="none"/>
                <w:lang w:val="en-US" w:eastAsia="zh-CN" w:bidi="ar-SA"/>
              </w:rPr>
              <w:t>　　5.其他方面对策建议。</w:t>
            </w:r>
          </w:p>
          <w:p>
            <w:pPr>
              <w:spacing w:line="340" w:lineRule="exact"/>
              <w:ind w:firstLine="480" w:firstLineChars="200"/>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三、调研上海、深圳、厦门等国内城市地区以及新加坡等国外地区法律服务集聚区的建设情况，并提出可供借鉴的成功经验。</w:t>
            </w:r>
          </w:p>
          <w:p>
            <w:pPr>
              <w:spacing w:line="34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　　</w:t>
            </w:r>
            <w:r>
              <w:rPr>
                <w:rFonts w:hint="eastAsia" w:ascii="仿宋_GB2312" w:hAnsi="仿宋_GB2312" w:eastAsia="仿宋_GB2312" w:cs="仿宋_GB2312"/>
                <w:color w:val="auto"/>
                <w:sz w:val="24"/>
                <w:szCs w:val="24"/>
                <w:highlight w:val="none"/>
                <w:lang w:val="en-US" w:eastAsia="zh-CN"/>
              </w:rPr>
              <w:t>四、探索</w:t>
            </w:r>
            <w:r>
              <w:rPr>
                <w:rFonts w:hint="eastAsia" w:ascii="仿宋_GB2312" w:hAnsi="仿宋_GB2312" w:eastAsia="仿宋_GB2312" w:cs="仿宋_GB2312"/>
                <w:color w:val="auto"/>
                <w:kern w:val="2"/>
                <w:sz w:val="24"/>
                <w:szCs w:val="24"/>
                <w:highlight w:val="none"/>
                <w:lang w:val="en-US" w:eastAsia="zh-CN" w:bidi="ar-SA"/>
              </w:rPr>
              <w:t>提出从现在至</w:t>
            </w:r>
            <w:r>
              <w:rPr>
                <w:rFonts w:hint="eastAsia" w:ascii="Times New Roman" w:hAnsi="Times New Roman" w:eastAsia="仿宋_GB2312" w:cs="Times New Roman"/>
                <w:color w:val="auto"/>
                <w:kern w:val="2"/>
                <w:sz w:val="24"/>
                <w:szCs w:val="24"/>
                <w:highlight w:val="none"/>
                <w:lang w:val="en-US" w:eastAsia="zh-CN" w:bidi="ar-SA"/>
              </w:rPr>
              <w:t>2035</w:t>
            </w:r>
            <w:r>
              <w:rPr>
                <w:rFonts w:hint="eastAsia" w:ascii="仿宋_GB2312" w:hAnsi="仿宋_GB2312" w:eastAsia="仿宋_GB2312" w:cs="仿宋_GB2312"/>
                <w:color w:val="auto"/>
                <w:kern w:val="2"/>
                <w:sz w:val="24"/>
                <w:szCs w:val="24"/>
                <w:highlight w:val="none"/>
                <w:lang w:val="en-US" w:eastAsia="zh-CN" w:bidi="ar-SA"/>
              </w:rPr>
              <w:t>年广州湾区中央法务区建设的规划方案，明确广州湾区中央法务区建设的工作目标、时间路线、工作举措和实现路径等。</w:t>
            </w:r>
          </w:p>
          <w:p>
            <w:pPr>
              <w:widowControl/>
              <w:spacing w:line="340" w:lineRule="exact"/>
              <w:ind w:firstLine="560" w:firstLineChars="0"/>
              <w:rPr>
                <w:rFonts w:hint="eastAsia" w:ascii="仿宋_GB2312" w:hAnsi="仿宋_GB2312" w:eastAsia="仿宋_GB2312" w:cs="仿宋_GB2312"/>
                <w:szCs w:val="21"/>
                <w:highlight w:val="none"/>
              </w:rPr>
            </w:pPr>
          </w:p>
        </w:tc>
        <w:tc>
          <w:tcPr>
            <w:tcW w:w="531" w:type="pct"/>
            <w:vAlign w:val="center"/>
          </w:tcPr>
          <w:p>
            <w:pPr>
              <w:widowControl/>
              <w:spacing w:line="320" w:lineRule="exact"/>
              <w:ind w:firstLine="0" w:firstLineChars="0"/>
              <w:jc w:val="left"/>
              <w:rPr>
                <w:rStyle w:val="15"/>
                <w:rFonts w:hint="eastAsia" w:ascii="仿宋_GB2312" w:hAnsi="仿宋_GB2312" w:eastAsia="仿宋_GB2312" w:cs="仿宋_GB2312"/>
                <w:b w:val="0"/>
                <w:bCs w:val="0"/>
                <w:color w:val="000000"/>
                <w:kern w:val="0"/>
                <w:sz w:val="24"/>
                <w:szCs w:val="24"/>
                <w:highlight w:val="none"/>
                <w:shd w:val="clear" w:color="auto" w:fill="FFFFFF"/>
                <w:lang w:bidi="ar"/>
              </w:rPr>
            </w:pPr>
            <w:r>
              <w:rPr>
                <w:rFonts w:hint="eastAsia" w:ascii="仿宋_GB2312" w:hAnsi="仿宋_GB2312" w:eastAsia="仿宋_GB2312" w:cs="仿宋_GB2312"/>
                <w:color w:val="auto"/>
                <w:sz w:val="24"/>
                <w:szCs w:val="24"/>
                <w:highlight w:val="none"/>
                <w:lang w:val="en-US" w:eastAsia="zh-CN"/>
              </w:rPr>
              <w:t>成果包括课题研究报告、规划方案建议稿、相关资料汇编等；根据课题研究需要开展调研等工作。</w:t>
            </w:r>
          </w:p>
        </w:tc>
        <w:tc>
          <w:tcPr>
            <w:tcW w:w="405" w:type="pct"/>
            <w:vAlign w:val="center"/>
          </w:tcPr>
          <w:p>
            <w:pPr>
              <w:widowControl/>
              <w:spacing w:line="320" w:lineRule="exact"/>
              <w:ind w:firstLine="0" w:firstLineChars="0"/>
              <w:jc w:val="left"/>
              <w:rPr>
                <w:rStyle w:val="15"/>
                <w:rFonts w:hint="eastAsia" w:ascii="仿宋_GB2312" w:hAnsi="仿宋_GB2312" w:eastAsia="仿宋_GB2312" w:cs="仿宋_GB2312"/>
                <w:b w:val="0"/>
                <w:bCs w:val="0"/>
                <w:color w:val="000000"/>
                <w:kern w:val="0"/>
                <w:sz w:val="24"/>
                <w:szCs w:val="24"/>
                <w:highlight w:val="none"/>
                <w:shd w:val="clear" w:color="auto" w:fill="FFFFFF"/>
                <w:lang w:bidi="ar"/>
              </w:rPr>
            </w:pPr>
            <w:r>
              <w:rPr>
                <w:rStyle w:val="15"/>
                <w:rFonts w:hint="eastAsia" w:ascii="仿宋_GB2312" w:hAnsi="仿宋_GB2312" w:eastAsia="仿宋_GB2312" w:cs="仿宋_GB2312"/>
                <w:b w:val="0"/>
                <w:bCs w:val="0"/>
                <w:color w:val="000000"/>
                <w:kern w:val="0"/>
                <w:sz w:val="24"/>
                <w:szCs w:val="24"/>
                <w:highlight w:val="none"/>
                <w:shd w:val="clear" w:color="auto" w:fill="FFFFFF"/>
                <w:lang w:eastAsia="zh-CN" w:bidi="ar"/>
              </w:rPr>
              <w:t>委托单位拨付，</w:t>
            </w:r>
            <w:r>
              <w:rPr>
                <w:rStyle w:val="15"/>
                <w:rFonts w:hint="eastAsia" w:ascii="仿宋_GB2312" w:hAnsi="仿宋_GB2312" w:eastAsia="仿宋_GB2312" w:cs="仿宋_GB2312"/>
                <w:b w:val="0"/>
                <w:bCs w:val="0"/>
                <w:color w:val="000000"/>
                <w:kern w:val="0"/>
                <w:sz w:val="24"/>
                <w:szCs w:val="24"/>
                <w:highlight w:val="none"/>
                <w:shd w:val="clear" w:color="auto" w:fill="FFFFFF"/>
                <w:lang w:val="en-US" w:eastAsia="zh-CN" w:bidi="ar"/>
              </w:rPr>
              <w:t>8</w:t>
            </w:r>
            <w:r>
              <w:rPr>
                <w:rStyle w:val="15"/>
                <w:rFonts w:ascii="仿宋_GB2312" w:hAnsi="仿宋_GB2312" w:eastAsia="仿宋_GB2312" w:cs="仿宋_GB2312"/>
                <w:b w:val="0"/>
                <w:bCs w:val="0"/>
                <w:color w:val="000000"/>
                <w:kern w:val="0"/>
                <w:sz w:val="24"/>
                <w:szCs w:val="24"/>
                <w:highlight w:val="none"/>
                <w:shd w:val="clear" w:color="auto" w:fill="FFFFFF"/>
                <w:lang w:bidi="ar"/>
              </w:rPr>
              <w:t>万元</w:t>
            </w:r>
            <w:r>
              <w:rPr>
                <w:rStyle w:val="15"/>
                <w:rFonts w:hint="eastAsia" w:ascii="仿宋_GB2312" w:hAnsi="仿宋_GB2312" w:eastAsia="仿宋_GB2312" w:cs="仿宋_GB2312"/>
                <w:b w:val="0"/>
                <w:bCs w:val="0"/>
                <w:color w:val="000000"/>
                <w:kern w:val="0"/>
                <w:sz w:val="24"/>
                <w:szCs w:val="24"/>
                <w:highlight w:val="none"/>
                <w:shd w:val="clear" w:color="auto" w:fill="FFFFFF"/>
                <w:lang w:eastAsia="zh-CN" w:bidi="ar"/>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6" w:hRule="atLeast"/>
          <w:tblHeader/>
          <w:jc w:val="center"/>
        </w:trPr>
        <w:tc>
          <w:tcPr>
            <w:tcW w:w="114" w:type="pct"/>
            <w:vAlign w:val="center"/>
          </w:tcPr>
          <w:p>
            <w:pPr>
              <w:pStyle w:val="21"/>
              <w:widowControl/>
              <w:numPr>
                <w:ilvl w:val="0"/>
                <w:numId w:val="1"/>
              </w:numPr>
              <w:spacing w:line="300" w:lineRule="exact"/>
              <w:ind w:firstLineChars="0"/>
              <w:jc w:val="center"/>
              <w:rPr>
                <w:rFonts w:hint="eastAsia" w:ascii="仿宋_GB2312" w:hAnsi="仿宋_GB2312" w:eastAsia="仿宋_GB2312" w:cs="仿宋_GB2312"/>
                <w:color w:val="000000"/>
                <w:kern w:val="0"/>
                <w:sz w:val="24"/>
                <w:szCs w:val="28"/>
                <w:highlight w:val="none"/>
              </w:rPr>
            </w:pPr>
          </w:p>
        </w:tc>
        <w:tc>
          <w:tcPr>
            <w:tcW w:w="265" w:type="pct"/>
            <w:vAlign w:val="center"/>
          </w:tcPr>
          <w:p>
            <w:pPr>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一般</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eastAsia="zh-CN"/>
              </w:rPr>
              <w:t>课题</w:t>
            </w:r>
          </w:p>
        </w:tc>
        <w:tc>
          <w:tcPr>
            <w:tcW w:w="479" w:type="pct"/>
            <w:vAlign w:val="center"/>
          </w:tcPr>
          <w:p>
            <w:pPr>
              <w:keepNext w:val="0"/>
              <w:keepLines w:val="0"/>
              <w:pageBreakBefore w:val="0"/>
              <w:widowControl/>
              <w:kinsoku/>
              <w:wordWrap/>
              <w:overflowPunct/>
              <w:topLinePunct w:val="0"/>
              <w:autoSpaceDE/>
              <w:autoSpaceDN/>
              <w:bidi w:val="0"/>
              <w:spacing w:line="360" w:lineRule="exact"/>
              <w:jc w:val="left"/>
              <w:textAlignment w:val="auto"/>
              <w:rPr>
                <w:rFonts w:hint="eastAsia" w:ascii="仿宋_GB2312" w:hAnsi="仿宋_GB2312" w:eastAsia="仿宋_GB2312" w:cs="仿宋_GB2312"/>
                <w:szCs w:val="21"/>
                <w:highlight w:val="none"/>
              </w:rPr>
            </w:pPr>
            <w:r>
              <w:rPr>
                <w:rFonts w:hint="eastAsia" w:ascii="仿宋_GB2312" w:hAnsi="仿宋_GB2312" w:eastAsia="仿宋_GB2312" w:cs="仿宋_GB2312"/>
                <w:color w:val="auto"/>
                <w:kern w:val="2"/>
                <w:sz w:val="24"/>
                <w:szCs w:val="24"/>
                <w:highlight w:val="none"/>
                <w:lang w:val="en-US" w:eastAsia="zh-CN" w:bidi="ar-SA"/>
              </w:rPr>
              <w:t>广州市碳排放权交易管理立法研究</w:t>
            </w:r>
          </w:p>
        </w:tc>
        <w:tc>
          <w:tcPr>
            <w:tcW w:w="1292" w:type="pct"/>
            <w:vAlign w:val="center"/>
          </w:tcPr>
          <w:p>
            <w:pPr>
              <w:keepNext w:val="0"/>
              <w:keepLines w:val="0"/>
              <w:pageBreakBefore w:val="0"/>
              <w:widowControl/>
              <w:kinsoku/>
              <w:wordWrap/>
              <w:overflowPunct/>
              <w:topLinePunct w:val="0"/>
              <w:autoSpaceDE/>
              <w:autoSpaceDN/>
              <w:bidi w:val="0"/>
              <w:spacing w:line="360" w:lineRule="exact"/>
              <w:ind w:firstLine="480" w:firstLineChars="200"/>
              <w:jc w:val="both"/>
              <w:textAlignment w:val="auto"/>
              <w:rPr>
                <w:rFonts w:hint="eastAsia" w:ascii="仿宋_GB2312" w:hAnsi="仿宋_GB2312" w:eastAsia="仿宋_GB2312" w:cs="仿宋_GB2312"/>
                <w:szCs w:val="21"/>
                <w:highlight w:val="none"/>
              </w:rPr>
            </w:pPr>
            <w:r>
              <w:rPr>
                <w:rFonts w:hint="eastAsia" w:ascii="仿宋_GB2312" w:hAnsi="仿宋_GB2312" w:eastAsia="仿宋_GB2312" w:cs="仿宋_GB2312"/>
                <w:color w:val="auto"/>
                <w:kern w:val="2"/>
                <w:sz w:val="24"/>
                <w:szCs w:val="24"/>
                <w:highlight w:val="none"/>
                <w:lang w:val="en-US" w:eastAsia="zh-CN" w:bidi="ar-SA"/>
              </w:rPr>
              <w:t>党的二十大报告提出：“积极稳妥推进碳达峰碳中和”“完善碳排放统计核算制度，健全碳排放权市场交易制度”。目前，国家碳排放权交易立法正在全面提速。《国务院</w:t>
            </w:r>
            <w:r>
              <w:rPr>
                <w:rFonts w:hint="default" w:ascii="Times New Roman" w:hAnsi="Times New Roman" w:eastAsia="仿宋_GB2312" w:cs="Times New Roman"/>
                <w:color w:val="auto"/>
                <w:kern w:val="2"/>
                <w:sz w:val="24"/>
                <w:szCs w:val="24"/>
                <w:highlight w:val="none"/>
                <w:lang w:val="en-US" w:eastAsia="zh-CN" w:bidi="ar-SA"/>
              </w:rPr>
              <w:t>2022</w:t>
            </w:r>
            <w:r>
              <w:rPr>
                <w:rFonts w:hint="eastAsia" w:ascii="仿宋_GB2312" w:hAnsi="仿宋_GB2312" w:eastAsia="仿宋_GB2312" w:cs="仿宋_GB2312"/>
                <w:color w:val="auto"/>
                <w:kern w:val="2"/>
                <w:sz w:val="24"/>
                <w:szCs w:val="24"/>
                <w:highlight w:val="none"/>
                <w:lang w:val="en-US" w:eastAsia="zh-CN" w:bidi="ar-SA"/>
              </w:rPr>
              <w:t>年度立法工作计划的通知》中包括由生态环境部起草的《碳排放权交易管理暂行条例》(以下简称《条例》)，生态环境部正在积极配合司法部,全面推进《条例》的立法进程。广东是最早启动碳排放权交易的试点省份之一，广州市也成立了碳排放交易所，但是现在支撑碳交易机制的文件，从国家到地方的法律效力层级都较低，而广州市在碳排放权（包括其金融衍生品）交易管理方面的立法还处于空白。因此，有必要总结广州市碳排放交易市场的建设经验和做法，并借鉴国内外立法，研究提出具有广州特色的地方立法建议。</w:t>
            </w:r>
          </w:p>
        </w:tc>
        <w:tc>
          <w:tcPr>
            <w:tcW w:w="1910" w:type="pct"/>
            <w:vAlign w:val="center"/>
          </w:tcPr>
          <w:p>
            <w:pPr>
              <w:keepNext w:val="0"/>
              <w:keepLines w:val="0"/>
              <w:pageBreakBefore w:val="0"/>
              <w:widowControl/>
              <w:kinsoku/>
              <w:wordWrap/>
              <w:overflowPunct/>
              <w:topLinePunct w:val="0"/>
              <w:autoSpaceDE/>
              <w:autoSpaceDN/>
              <w:bidi w:val="0"/>
              <w:spacing w:line="36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一、广州市碳排放权（包括其金融衍生品）交易管理立法的现实考量。</w:t>
            </w:r>
          </w:p>
          <w:p>
            <w:pPr>
              <w:keepNext w:val="0"/>
              <w:keepLines w:val="0"/>
              <w:pageBreakBefore w:val="0"/>
              <w:widowControl/>
              <w:kinsoku/>
              <w:wordWrap/>
              <w:overflowPunct/>
              <w:topLinePunct w:val="0"/>
              <w:autoSpaceDE/>
              <w:autoSpaceDN/>
              <w:bidi w:val="0"/>
              <w:spacing w:line="36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1.立法的必要性；</w:t>
            </w:r>
          </w:p>
          <w:p>
            <w:pPr>
              <w:keepNext w:val="0"/>
              <w:keepLines w:val="0"/>
              <w:pageBreakBefore w:val="0"/>
              <w:widowControl/>
              <w:kinsoku/>
              <w:wordWrap/>
              <w:overflowPunct/>
              <w:topLinePunct w:val="0"/>
              <w:autoSpaceDE/>
              <w:autoSpaceDN/>
              <w:bidi w:val="0"/>
              <w:spacing w:line="36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2.立法的可行性；</w:t>
            </w:r>
          </w:p>
          <w:p>
            <w:pPr>
              <w:keepNext w:val="0"/>
              <w:keepLines w:val="0"/>
              <w:pageBreakBefore w:val="0"/>
              <w:widowControl/>
              <w:kinsoku/>
              <w:wordWrap/>
              <w:overflowPunct/>
              <w:topLinePunct w:val="0"/>
              <w:autoSpaceDE/>
              <w:autoSpaceDN/>
              <w:bidi w:val="0"/>
              <w:spacing w:line="360" w:lineRule="exact"/>
              <w:ind w:firstLine="480" w:firstLineChars="200"/>
              <w:jc w:val="both"/>
              <w:textAlignment w:val="auto"/>
              <w:rPr>
                <w:rFonts w:hint="default"/>
                <w:sz w:val="24"/>
                <w:szCs w:val="24"/>
                <w:highlight w:val="none"/>
                <w:lang w:val="en-US" w:eastAsia="zh-CN"/>
              </w:rPr>
            </w:pPr>
            <w:r>
              <w:rPr>
                <w:rFonts w:hint="eastAsia" w:ascii="仿宋_GB2312" w:hAnsi="仿宋_GB2312" w:eastAsia="仿宋_GB2312" w:cs="仿宋_GB2312"/>
                <w:color w:val="auto"/>
                <w:kern w:val="2"/>
                <w:sz w:val="24"/>
                <w:szCs w:val="24"/>
                <w:highlight w:val="none"/>
                <w:lang w:val="en-US" w:eastAsia="zh-CN" w:bidi="ar-SA"/>
              </w:rPr>
              <w:t>3.立法的实现路径。</w:t>
            </w:r>
          </w:p>
          <w:p>
            <w:pPr>
              <w:keepNext w:val="0"/>
              <w:keepLines w:val="0"/>
              <w:pageBreakBefore w:val="0"/>
              <w:widowControl/>
              <w:kinsoku/>
              <w:wordWrap/>
              <w:overflowPunct/>
              <w:topLinePunct w:val="0"/>
              <w:autoSpaceDE/>
              <w:autoSpaceDN/>
              <w:bidi w:val="0"/>
              <w:spacing w:line="36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二、广州市碳排放权（包括其金融衍生品）交易管理立法的目标和定位。</w:t>
            </w:r>
          </w:p>
          <w:p>
            <w:pPr>
              <w:keepNext w:val="0"/>
              <w:keepLines w:val="0"/>
              <w:pageBreakBefore w:val="0"/>
              <w:widowControl/>
              <w:kinsoku/>
              <w:wordWrap/>
              <w:overflowPunct/>
              <w:topLinePunct w:val="0"/>
              <w:autoSpaceDE/>
              <w:autoSpaceDN/>
              <w:bidi w:val="0"/>
              <w:spacing w:line="36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1.立法的基本目标；</w:t>
            </w:r>
          </w:p>
          <w:p>
            <w:pPr>
              <w:keepNext w:val="0"/>
              <w:keepLines w:val="0"/>
              <w:pageBreakBefore w:val="0"/>
              <w:widowControl/>
              <w:kinsoku/>
              <w:wordWrap/>
              <w:overflowPunct/>
              <w:topLinePunct w:val="0"/>
              <w:autoSpaceDE/>
              <w:autoSpaceDN/>
              <w:bidi w:val="0"/>
              <w:spacing w:line="36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2.立法的体系定位。</w:t>
            </w:r>
          </w:p>
          <w:p>
            <w:pPr>
              <w:keepNext w:val="0"/>
              <w:keepLines w:val="0"/>
              <w:pageBreakBefore w:val="0"/>
              <w:widowControl/>
              <w:kinsoku/>
              <w:wordWrap/>
              <w:overflowPunct/>
              <w:topLinePunct w:val="0"/>
              <w:autoSpaceDE/>
              <w:autoSpaceDN/>
              <w:bidi w:val="0"/>
              <w:spacing w:line="36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三、研究整理国内外碳排放权（包括其金融衍生品）交易管理相关立法现状。</w:t>
            </w:r>
          </w:p>
          <w:p>
            <w:pPr>
              <w:keepNext w:val="0"/>
              <w:keepLines w:val="0"/>
              <w:pageBreakBefore w:val="0"/>
              <w:widowControl/>
              <w:kinsoku/>
              <w:wordWrap/>
              <w:overflowPunct/>
              <w:topLinePunct w:val="0"/>
              <w:autoSpaceDE/>
              <w:autoSpaceDN/>
              <w:bidi w:val="0"/>
              <w:spacing w:line="36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1.国家层面相关立法情况分析；</w:t>
            </w:r>
          </w:p>
          <w:p>
            <w:pPr>
              <w:keepNext w:val="0"/>
              <w:keepLines w:val="0"/>
              <w:pageBreakBefore w:val="0"/>
              <w:widowControl/>
              <w:kinsoku/>
              <w:wordWrap/>
              <w:overflowPunct/>
              <w:topLinePunct w:val="0"/>
              <w:autoSpaceDE/>
              <w:autoSpaceDN/>
              <w:bidi w:val="0"/>
              <w:spacing w:line="36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2.国外城市地区立法情况分析；</w:t>
            </w:r>
          </w:p>
          <w:p>
            <w:pPr>
              <w:keepNext w:val="0"/>
              <w:keepLines w:val="0"/>
              <w:pageBreakBefore w:val="0"/>
              <w:widowControl/>
              <w:kinsoku/>
              <w:wordWrap/>
              <w:overflowPunct/>
              <w:topLinePunct w:val="0"/>
              <w:autoSpaceDE/>
              <w:autoSpaceDN/>
              <w:bidi w:val="0"/>
              <w:spacing w:line="360" w:lineRule="exact"/>
              <w:ind w:firstLine="480" w:firstLineChars="200"/>
              <w:jc w:val="both"/>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3.国内其他地市立法情况分析。</w:t>
            </w:r>
          </w:p>
          <w:p>
            <w:pPr>
              <w:pStyle w:val="11"/>
              <w:keepNext w:val="0"/>
              <w:keepLines w:val="0"/>
              <w:pageBreakBefore w:val="0"/>
              <w:kinsoku/>
              <w:wordWrap/>
              <w:overflowPunct/>
              <w:topLinePunct w:val="0"/>
              <w:autoSpaceDE/>
              <w:autoSpaceDN/>
              <w:bidi w:val="0"/>
              <w:spacing w:line="360" w:lineRule="exact"/>
              <w:ind w:left="0" w:leftChars="0" w:firstLine="0" w:firstLineChars="0"/>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　　四、广州市碳排放权（包括其金融衍生品）交易管理立法的制度设计和内容。</w:t>
            </w:r>
          </w:p>
          <w:p>
            <w:pPr>
              <w:pStyle w:val="11"/>
              <w:keepNext w:val="0"/>
              <w:keepLines w:val="0"/>
              <w:pageBreakBefore w:val="0"/>
              <w:kinsoku/>
              <w:wordWrap/>
              <w:overflowPunct/>
              <w:topLinePunct w:val="0"/>
              <w:autoSpaceDE/>
              <w:autoSpaceDN/>
              <w:bidi w:val="0"/>
              <w:spacing w:line="360" w:lineRule="exact"/>
              <w:ind w:left="0" w:leftChars="0" w:firstLine="0" w:firstLineChars="0"/>
              <w:textAlignment w:val="auto"/>
              <w:rPr>
                <w:rFonts w:hint="eastAsia" w:ascii="仿宋_GB2312" w:hAnsi="仿宋_GB2312" w:eastAsia="仿宋_GB2312" w:cs="仿宋_GB2312"/>
                <w:szCs w:val="21"/>
                <w:highlight w:val="none"/>
              </w:rPr>
            </w:pPr>
            <w:r>
              <w:rPr>
                <w:rFonts w:hint="eastAsia" w:ascii="黑体" w:hAnsi="黑体" w:eastAsia="黑体" w:cs="黑体"/>
                <w:b w:val="0"/>
                <w:bCs w:val="0"/>
                <w:color w:val="auto"/>
                <w:kern w:val="2"/>
                <w:sz w:val="24"/>
                <w:szCs w:val="24"/>
                <w:highlight w:val="none"/>
                <w:lang w:val="en-US" w:eastAsia="zh-CN" w:bidi="ar-SA"/>
              </w:rPr>
              <w:t>　</w:t>
            </w:r>
          </w:p>
        </w:tc>
        <w:tc>
          <w:tcPr>
            <w:tcW w:w="531" w:type="pct"/>
            <w:vAlign w:val="center"/>
          </w:tcPr>
          <w:p>
            <w:pPr>
              <w:widowControl/>
              <w:spacing w:line="320" w:lineRule="exact"/>
              <w:ind w:firstLine="0" w:firstLineChars="0"/>
              <w:jc w:val="left"/>
              <w:rPr>
                <w:rStyle w:val="15"/>
                <w:rFonts w:hint="eastAsia" w:ascii="仿宋_GB2312" w:hAnsi="仿宋_GB2312" w:eastAsia="仿宋_GB2312" w:cs="仿宋_GB2312"/>
                <w:b w:val="0"/>
                <w:bCs w:val="0"/>
                <w:color w:val="000000"/>
                <w:kern w:val="0"/>
                <w:sz w:val="24"/>
                <w:szCs w:val="24"/>
                <w:highlight w:val="none"/>
                <w:shd w:val="clear" w:color="auto" w:fill="FFFFFF"/>
                <w:lang w:bidi="ar"/>
              </w:rPr>
            </w:pPr>
            <w:r>
              <w:rPr>
                <w:rFonts w:hint="eastAsia" w:ascii="仿宋_GB2312" w:hAnsi="仿宋_GB2312" w:eastAsia="仿宋_GB2312" w:cs="仿宋_GB2312"/>
                <w:color w:val="auto"/>
                <w:kern w:val="2"/>
                <w:sz w:val="24"/>
                <w:szCs w:val="24"/>
                <w:highlight w:val="none"/>
                <w:lang w:val="en-US" w:eastAsia="zh-CN" w:bidi="ar-SA"/>
              </w:rPr>
              <w:t>成果包括课题研究报告、立法建议稿及说明、相关资料汇编等；根据课题研究需要开展调研等工作。</w:t>
            </w:r>
          </w:p>
        </w:tc>
        <w:tc>
          <w:tcPr>
            <w:tcW w:w="405" w:type="pct"/>
            <w:vAlign w:val="center"/>
          </w:tcPr>
          <w:p>
            <w:pPr>
              <w:widowControl/>
              <w:spacing w:line="320" w:lineRule="exact"/>
              <w:ind w:firstLine="0" w:firstLineChars="0"/>
              <w:jc w:val="left"/>
              <w:rPr>
                <w:rStyle w:val="15"/>
                <w:rFonts w:hint="eastAsia" w:ascii="仿宋_GB2312" w:hAnsi="仿宋_GB2312" w:eastAsia="仿宋_GB2312" w:cs="仿宋_GB2312"/>
                <w:b w:val="0"/>
                <w:bCs w:val="0"/>
                <w:color w:val="000000"/>
                <w:kern w:val="0"/>
                <w:sz w:val="24"/>
                <w:szCs w:val="24"/>
                <w:highlight w:val="none"/>
                <w:shd w:val="clear" w:color="auto" w:fill="FFFFFF"/>
                <w:lang w:bidi="ar"/>
              </w:rPr>
            </w:pPr>
            <w:r>
              <w:rPr>
                <w:rStyle w:val="15"/>
                <w:rFonts w:hint="eastAsia" w:ascii="仿宋_GB2312" w:hAnsi="仿宋_GB2312" w:eastAsia="仿宋_GB2312" w:cs="仿宋_GB2312"/>
                <w:b w:val="0"/>
                <w:bCs w:val="0"/>
                <w:color w:val="000000"/>
                <w:kern w:val="0"/>
                <w:sz w:val="24"/>
                <w:szCs w:val="24"/>
                <w:highlight w:val="none"/>
                <w:shd w:val="clear" w:color="auto" w:fill="FFFFFF"/>
                <w:lang w:eastAsia="zh-CN" w:bidi="ar"/>
              </w:rPr>
              <w:t>委托单位拨付，</w:t>
            </w:r>
            <w:r>
              <w:rPr>
                <w:rStyle w:val="15"/>
                <w:rFonts w:hint="eastAsia" w:ascii="仿宋_GB2312" w:hAnsi="仿宋_GB2312" w:eastAsia="仿宋_GB2312" w:cs="仿宋_GB2312"/>
                <w:b w:val="0"/>
                <w:bCs w:val="0"/>
                <w:color w:val="000000"/>
                <w:kern w:val="0"/>
                <w:sz w:val="24"/>
                <w:szCs w:val="24"/>
                <w:highlight w:val="none"/>
                <w:shd w:val="clear" w:color="auto" w:fill="FFFFFF"/>
                <w:lang w:val="en-US" w:eastAsia="zh-CN" w:bidi="ar"/>
              </w:rPr>
              <w:t>8</w:t>
            </w:r>
            <w:r>
              <w:rPr>
                <w:rStyle w:val="15"/>
                <w:rFonts w:ascii="仿宋_GB2312" w:hAnsi="仿宋_GB2312" w:eastAsia="仿宋_GB2312" w:cs="仿宋_GB2312"/>
                <w:b w:val="0"/>
                <w:bCs w:val="0"/>
                <w:color w:val="000000"/>
                <w:kern w:val="0"/>
                <w:sz w:val="24"/>
                <w:szCs w:val="24"/>
                <w:highlight w:val="none"/>
                <w:shd w:val="clear" w:color="auto" w:fill="FFFFFF"/>
                <w:lang w:bidi="ar"/>
              </w:rPr>
              <w:t>万元</w:t>
            </w:r>
            <w:r>
              <w:rPr>
                <w:rStyle w:val="15"/>
                <w:rFonts w:hint="eastAsia" w:ascii="仿宋_GB2312" w:hAnsi="仿宋_GB2312" w:eastAsia="仿宋_GB2312" w:cs="仿宋_GB2312"/>
                <w:b w:val="0"/>
                <w:bCs w:val="0"/>
                <w:color w:val="000000"/>
                <w:kern w:val="0"/>
                <w:sz w:val="24"/>
                <w:szCs w:val="24"/>
                <w:highlight w:val="none"/>
                <w:shd w:val="clear" w:color="auto" w:fill="FFFFFF"/>
                <w:lang w:eastAsia="zh-CN" w:bidi="ar"/>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jc w:val="center"/>
        </w:trPr>
        <w:tc>
          <w:tcPr>
            <w:tcW w:w="114" w:type="pct"/>
            <w:vAlign w:val="center"/>
          </w:tcPr>
          <w:p>
            <w:pPr>
              <w:pStyle w:val="21"/>
              <w:widowControl/>
              <w:numPr>
                <w:ilvl w:val="0"/>
                <w:numId w:val="1"/>
              </w:numPr>
              <w:spacing w:line="300" w:lineRule="exact"/>
              <w:ind w:firstLineChars="0"/>
              <w:jc w:val="center"/>
              <w:rPr>
                <w:rFonts w:hint="eastAsia" w:ascii="仿宋_GB2312" w:hAnsi="仿宋_GB2312" w:eastAsia="仿宋_GB2312" w:cs="仿宋_GB2312"/>
                <w:color w:val="000000"/>
                <w:kern w:val="0"/>
                <w:sz w:val="24"/>
                <w:szCs w:val="28"/>
                <w:highlight w:val="none"/>
              </w:rPr>
            </w:pPr>
          </w:p>
        </w:tc>
        <w:tc>
          <w:tcPr>
            <w:tcW w:w="265" w:type="pct"/>
            <w:vAlign w:val="center"/>
          </w:tcPr>
          <w:p>
            <w:pPr>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一般</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eastAsia="zh-CN"/>
              </w:rPr>
              <w:t>课题</w:t>
            </w:r>
          </w:p>
        </w:tc>
        <w:tc>
          <w:tcPr>
            <w:tcW w:w="479" w:type="pct"/>
            <w:vAlign w:val="center"/>
          </w:tcPr>
          <w:p>
            <w:pPr>
              <w:pStyle w:val="4"/>
              <w:keepNext w:val="0"/>
              <w:keepLines w:val="0"/>
              <w:pageBreakBefore w:val="0"/>
              <w:kinsoku/>
              <w:wordWrap/>
              <w:overflowPunct/>
              <w:topLinePunct w:val="0"/>
              <w:autoSpaceDE/>
              <w:autoSpaceDN/>
              <w:bidi w:val="0"/>
              <w:adjustRightInd w:val="0"/>
              <w:snapToGrid w:val="0"/>
              <w:spacing w:after="0" w:line="360" w:lineRule="exact"/>
              <w:ind w:left="0" w:leftChars="0" w:right="0" w:rightChars="0"/>
              <w:jc w:val="left"/>
              <w:textAlignment w:val="auto"/>
              <w:rPr>
                <w:rFonts w:hint="eastAsia" w:ascii="仿宋_GB2312" w:hAnsi="仿宋_GB2312" w:eastAsia="仿宋_GB2312" w:cs="仿宋_GB2312"/>
                <w:szCs w:val="21"/>
                <w:highlight w:val="none"/>
              </w:rPr>
            </w:pPr>
            <w:r>
              <w:rPr>
                <w:rFonts w:hint="eastAsia" w:ascii="仿宋_GB2312" w:hAnsi="仿宋_GB2312" w:eastAsia="仿宋_GB2312" w:cs="仿宋_GB2312"/>
                <w:color w:val="auto"/>
                <w:sz w:val="24"/>
                <w:szCs w:val="24"/>
                <w:highlight w:val="none"/>
                <w:lang w:val="en-US" w:eastAsia="zh-CN"/>
              </w:rPr>
              <w:t>广州市重大行政决策事项标准研究</w:t>
            </w:r>
          </w:p>
        </w:tc>
        <w:tc>
          <w:tcPr>
            <w:tcW w:w="1292" w:type="pct"/>
            <w:vAlign w:val="center"/>
          </w:tcPr>
          <w:p>
            <w:pPr>
              <w:pStyle w:val="4"/>
              <w:keepNext w:val="0"/>
              <w:keepLines w:val="0"/>
              <w:pageBreakBefore w:val="0"/>
              <w:kinsoku/>
              <w:wordWrap/>
              <w:overflowPunct/>
              <w:topLinePunct w:val="0"/>
              <w:autoSpaceDE/>
              <w:autoSpaceDN/>
              <w:bidi w:val="0"/>
              <w:adjustRightInd w:val="0"/>
              <w:snapToGrid w:val="0"/>
              <w:spacing w:after="0" w:line="360" w:lineRule="exact"/>
              <w:ind w:left="0" w:leftChars="0" w:right="0" w:rightChars="0" w:firstLine="480" w:firstLineChars="200"/>
              <w:jc w:val="both"/>
              <w:textAlignment w:val="auto"/>
              <w:rPr>
                <w:rFonts w:hint="eastAsia" w:ascii="仿宋_GB2312" w:hAnsi="仿宋_GB2312" w:eastAsia="仿宋_GB2312" w:cs="仿宋_GB2312"/>
                <w:szCs w:val="21"/>
                <w:highlight w:val="none"/>
              </w:rPr>
            </w:pPr>
            <w:r>
              <w:rPr>
                <w:rFonts w:hint="eastAsia" w:ascii="仿宋_GB2312" w:hAnsi="仿宋_GB2312" w:eastAsia="仿宋_GB2312" w:cs="仿宋_GB2312"/>
                <w:color w:val="auto"/>
                <w:sz w:val="24"/>
                <w:szCs w:val="24"/>
                <w:highlight w:val="none"/>
                <w:lang w:val="en-US" w:eastAsia="zh-CN"/>
              </w:rPr>
              <w:t>准确界定重大行政决策范围是重大行政决策程序运行的前提。《重大行政决策程序暂行条例》《广东省重大行政决策程序规定》《广州市依法行政条例》《广州市重大行政决策程序规定》等现有法规规章对重大行政决策事项范围划定仅做了“重大”之类的定性描述，对何为“重大”的定量标准，却未予以明确。实践中，因缺少定量标准或对标准的统一认知而导致诸多实践乱象:例如不同行政机关之间,或是不同地区之间，对“重大”的认定标准可能存在显著差异，导致重大行政决策事项应纳未纳。因此，对重大行政决策事项标准进行研究明确，是落实《广州市重大行政决策程序规定》、进一步完善我市科学民主依法决策机制的迫切需要，对加强重大行政决策管理、切实提升科学民主依法决策具有重要现实意义。</w:t>
            </w:r>
          </w:p>
        </w:tc>
        <w:tc>
          <w:tcPr>
            <w:tcW w:w="1910" w:type="pct"/>
            <w:vAlign w:val="center"/>
          </w:tcPr>
          <w:p>
            <w:pPr>
              <w:pStyle w:val="4"/>
              <w:keepNext w:val="0"/>
              <w:keepLines w:val="0"/>
              <w:pageBreakBefore w:val="0"/>
              <w:numPr>
                <w:ilvl w:val="0"/>
                <w:numId w:val="4"/>
              </w:numPr>
              <w:kinsoku/>
              <w:wordWrap/>
              <w:overflowPunct/>
              <w:topLinePunct w:val="0"/>
              <w:autoSpaceDE/>
              <w:autoSpaceDN/>
              <w:bidi w:val="0"/>
              <w:adjustRightInd w:val="0"/>
              <w:snapToGrid w:val="0"/>
              <w:spacing w:after="0" w:line="36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重大行政决策事项范围与重大行政决策事项标准的关系。</w:t>
            </w:r>
          </w:p>
          <w:p>
            <w:pPr>
              <w:pStyle w:val="4"/>
              <w:keepNext w:val="0"/>
              <w:keepLines w:val="0"/>
              <w:pageBreakBefore w:val="0"/>
              <w:numPr>
                <w:ilvl w:val="0"/>
                <w:numId w:val="4"/>
              </w:numPr>
              <w:kinsoku/>
              <w:wordWrap/>
              <w:overflowPunct/>
              <w:topLinePunct w:val="0"/>
              <w:autoSpaceDE/>
              <w:autoSpaceDN/>
              <w:bidi w:val="0"/>
              <w:adjustRightInd w:val="0"/>
              <w:snapToGrid w:val="0"/>
              <w:spacing w:after="0" w:line="36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如何确定不同领域、类型重大行政决策事项具体标准。                                                     　　　</w:t>
            </w:r>
          </w:p>
          <w:p>
            <w:pPr>
              <w:pStyle w:val="4"/>
              <w:keepNext w:val="0"/>
              <w:keepLines w:val="0"/>
              <w:pageBreakBefore w:val="0"/>
              <w:numPr>
                <w:ilvl w:val="0"/>
                <w:numId w:val="4"/>
              </w:numPr>
              <w:kinsoku/>
              <w:wordWrap/>
              <w:overflowPunct/>
              <w:topLinePunct w:val="0"/>
              <w:autoSpaceDE/>
              <w:autoSpaceDN/>
              <w:bidi w:val="0"/>
              <w:adjustRightInd w:val="0"/>
              <w:snapToGrid w:val="0"/>
              <w:spacing w:after="0" w:line="36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如何区分政府重大行政决策事项标准与部门重大行政决策事项标准、上级政府与下级政府重大行政决策事项标准。</w:t>
            </w:r>
          </w:p>
          <w:p>
            <w:pPr>
              <w:pStyle w:val="4"/>
              <w:keepNext w:val="0"/>
              <w:keepLines w:val="0"/>
              <w:pageBreakBefore w:val="0"/>
              <w:numPr>
                <w:ilvl w:val="0"/>
                <w:numId w:val="4"/>
              </w:numPr>
              <w:kinsoku/>
              <w:wordWrap/>
              <w:overflowPunct/>
              <w:topLinePunct w:val="0"/>
              <w:autoSpaceDE/>
              <w:autoSpaceDN/>
              <w:bidi w:val="0"/>
              <w:adjustRightInd w:val="0"/>
              <w:snapToGrid w:val="0"/>
              <w:spacing w:after="0" w:line="36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如何将重大行政决策标准与重大行政决策事项目录管理机制更好衔接。</w:t>
            </w:r>
          </w:p>
          <w:p>
            <w:pPr>
              <w:pStyle w:val="4"/>
              <w:keepNext w:val="0"/>
              <w:keepLines w:val="0"/>
              <w:pageBreakBefore w:val="0"/>
              <w:numPr>
                <w:ilvl w:val="0"/>
                <w:numId w:val="4"/>
              </w:numPr>
              <w:kinsoku/>
              <w:wordWrap/>
              <w:overflowPunct/>
              <w:topLinePunct w:val="0"/>
              <w:autoSpaceDE/>
              <w:autoSpaceDN/>
              <w:bidi w:val="0"/>
              <w:adjustRightInd w:val="0"/>
              <w:snapToGrid w:val="0"/>
              <w:spacing w:after="0" w:line="36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广州市重大行政决策事项的具体标准细则（形成专家建议稿）。 </w:t>
            </w:r>
          </w:p>
          <w:p>
            <w:pPr>
              <w:pStyle w:val="4"/>
              <w:keepNext w:val="0"/>
              <w:keepLines w:val="0"/>
              <w:pageBreakBefore w:val="0"/>
              <w:kinsoku/>
              <w:wordWrap/>
              <w:overflowPunct/>
              <w:topLinePunct w:val="0"/>
              <w:autoSpaceDE/>
              <w:autoSpaceDN/>
              <w:bidi w:val="0"/>
              <w:adjustRightInd w:val="0"/>
              <w:snapToGrid w:val="0"/>
              <w:spacing w:after="0" w:line="360" w:lineRule="exact"/>
              <w:ind w:left="0" w:leftChars="0" w:right="0" w:rightChars="0" w:firstLine="420" w:firstLineChars="200"/>
              <w:jc w:val="both"/>
              <w:textAlignment w:val="auto"/>
              <w:rPr>
                <w:rFonts w:hint="eastAsia" w:ascii="仿宋_GB2312" w:hAnsi="仿宋_GB2312" w:eastAsia="仿宋_GB2312" w:cs="仿宋_GB2312"/>
                <w:szCs w:val="21"/>
                <w:highlight w:val="none"/>
              </w:rPr>
            </w:pPr>
          </w:p>
        </w:tc>
        <w:tc>
          <w:tcPr>
            <w:tcW w:w="531" w:type="pct"/>
            <w:vAlign w:val="center"/>
          </w:tcPr>
          <w:p>
            <w:pPr>
              <w:widowControl/>
              <w:spacing w:line="320" w:lineRule="exact"/>
              <w:ind w:firstLine="0" w:firstLineChars="0"/>
              <w:jc w:val="left"/>
              <w:rPr>
                <w:rStyle w:val="15"/>
                <w:rFonts w:hint="eastAsia" w:ascii="仿宋_GB2312" w:hAnsi="仿宋_GB2312" w:eastAsia="仿宋_GB2312" w:cs="仿宋_GB2312"/>
                <w:b w:val="0"/>
                <w:bCs w:val="0"/>
                <w:color w:val="000000"/>
                <w:kern w:val="0"/>
                <w:sz w:val="24"/>
                <w:szCs w:val="24"/>
                <w:highlight w:val="none"/>
                <w:shd w:val="clear" w:color="auto" w:fill="FFFFFF"/>
                <w:lang w:bidi="ar"/>
              </w:rPr>
            </w:pPr>
            <w:r>
              <w:rPr>
                <w:rFonts w:hint="eastAsia" w:ascii="仿宋_GB2312" w:hAnsi="仿宋_GB2312" w:eastAsia="仿宋_GB2312" w:cs="仿宋_GB2312"/>
                <w:color w:val="auto"/>
                <w:sz w:val="24"/>
                <w:szCs w:val="24"/>
                <w:highlight w:val="none"/>
                <w:lang w:val="en-US" w:eastAsia="zh-CN"/>
              </w:rPr>
              <w:t>成果包括课题研究报告、《广州市重大行政决策事项的具体标准细则》（专家建议稿）及说明、相关资料汇编等；根据课题研究需要开展调研等工作。</w:t>
            </w:r>
          </w:p>
        </w:tc>
        <w:tc>
          <w:tcPr>
            <w:tcW w:w="405" w:type="pct"/>
            <w:vAlign w:val="center"/>
          </w:tcPr>
          <w:p>
            <w:pPr>
              <w:widowControl/>
              <w:spacing w:line="320" w:lineRule="exact"/>
              <w:ind w:firstLine="0" w:firstLineChars="0"/>
              <w:jc w:val="left"/>
              <w:rPr>
                <w:rStyle w:val="15"/>
                <w:rFonts w:hint="eastAsia" w:ascii="仿宋_GB2312" w:hAnsi="仿宋_GB2312" w:eastAsia="仿宋_GB2312" w:cs="仿宋_GB2312"/>
                <w:b w:val="0"/>
                <w:bCs w:val="0"/>
                <w:color w:val="000000"/>
                <w:kern w:val="0"/>
                <w:sz w:val="24"/>
                <w:szCs w:val="24"/>
                <w:highlight w:val="none"/>
                <w:shd w:val="clear" w:color="auto" w:fill="FFFFFF"/>
                <w:lang w:bidi="ar"/>
              </w:rPr>
            </w:pPr>
            <w:r>
              <w:rPr>
                <w:rStyle w:val="15"/>
                <w:rFonts w:hint="eastAsia" w:ascii="仿宋_GB2312" w:hAnsi="仿宋_GB2312" w:eastAsia="仿宋_GB2312" w:cs="仿宋_GB2312"/>
                <w:b w:val="0"/>
                <w:bCs w:val="0"/>
                <w:color w:val="000000"/>
                <w:kern w:val="0"/>
                <w:sz w:val="24"/>
                <w:szCs w:val="24"/>
                <w:highlight w:val="none"/>
                <w:shd w:val="clear" w:color="auto" w:fill="FFFFFF"/>
                <w:lang w:eastAsia="zh-CN" w:bidi="ar"/>
              </w:rPr>
              <w:t>委托单位拨付，</w:t>
            </w:r>
            <w:r>
              <w:rPr>
                <w:rStyle w:val="15"/>
                <w:rFonts w:hint="eastAsia" w:ascii="仿宋_GB2312" w:hAnsi="仿宋_GB2312" w:eastAsia="仿宋_GB2312" w:cs="仿宋_GB2312"/>
                <w:b w:val="0"/>
                <w:bCs w:val="0"/>
                <w:color w:val="000000"/>
                <w:kern w:val="0"/>
                <w:sz w:val="24"/>
                <w:szCs w:val="24"/>
                <w:highlight w:val="none"/>
                <w:shd w:val="clear" w:color="auto" w:fill="FFFFFF"/>
                <w:lang w:val="en-US" w:eastAsia="zh-CN" w:bidi="ar"/>
              </w:rPr>
              <w:t>8</w:t>
            </w:r>
            <w:r>
              <w:rPr>
                <w:rStyle w:val="15"/>
                <w:rFonts w:ascii="仿宋_GB2312" w:hAnsi="仿宋_GB2312" w:eastAsia="仿宋_GB2312" w:cs="仿宋_GB2312"/>
                <w:b w:val="0"/>
                <w:bCs w:val="0"/>
                <w:color w:val="000000"/>
                <w:kern w:val="0"/>
                <w:sz w:val="24"/>
                <w:szCs w:val="24"/>
                <w:highlight w:val="none"/>
                <w:shd w:val="clear" w:color="auto" w:fill="FFFFFF"/>
                <w:lang w:bidi="ar"/>
              </w:rPr>
              <w:t>万元</w:t>
            </w:r>
            <w:r>
              <w:rPr>
                <w:rStyle w:val="15"/>
                <w:rFonts w:hint="eastAsia" w:ascii="仿宋_GB2312" w:hAnsi="仿宋_GB2312" w:eastAsia="仿宋_GB2312" w:cs="仿宋_GB2312"/>
                <w:b w:val="0"/>
                <w:bCs w:val="0"/>
                <w:color w:val="000000"/>
                <w:kern w:val="0"/>
                <w:sz w:val="24"/>
                <w:szCs w:val="24"/>
                <w:highlight w:val="none"/>
                <w:shd w:val="clear" w:color="auto" w:fill="FFFFFF"/>
                <w:lang w:eastAsia="zh-CN" w:bidi="ar"/>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jc w:val="center"/>
        </w:trPr>
        <w:tc>
          <w:tcPr>
            <w:tcW w:w="114" w:type="pct"/>
            <w:vAlign w:val="center"/>
          </w:tcPr>
          <w:p>
            <w:pPr>
              <w:pStyle w:val="21"/>
              <w:widowControl/>
              <w:numPr>
                <w:ilvl w:val="0"/>
                <w:numId w:val="1"/>
              </w:numPr>
              <w:spacing w:line="300" w:lineRule="exact"/>
              <w:ind w:firstLineChars="0"/>
              <w:jc w:val="center"/>
              <w:rPr>
                <w:rFonts w:hint="eastAsia" w:ascii="仿宋_GB2312" w:hAnsi="仿宋_GB2312" w:eastAsia="仿宋_GB2312" w:cs="仿宋_GB2312"/>
                <w:color w:val="000000"/>
                <w:kern w:val="0"/>
                <w:sz w:val="24"/>
                <w:szCs w:val="28"/>
                <w:highlight w:val="none"/>
              </w:rPr>
            </w:pPr>
          </w:p>
        </w:tc>
        <w:tc>
          <w:tcPr>
            <w:tcW w:w="265" w:type="pct"/>
            <w:vAlign w:val="center"/>
          </w:tcPr>
          <w:p>
            <w:pPr>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一般</w:t>
            </w:r>
          </w:p>
          <w:p>
            <w:pPr>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课题</w:t>
            </w:r>
          </w:p>
        </w:tc>
        <w:tc>
          <w:tcPr>
            <w:tcW w:w="479" w:type="pct"/>
            <w:vAlign w:val="center"/>
          </w:tcPr>
          <w:p>
            <w:pPr>
              <w:spacing w:line="360" w:lineRule="exact"/>
              <w:jc w:val="left"/>
              <w:rPr>
                <w:rFonts w:hint="eastAsia" w:ascii="仿宋_GB2312" w:hAnsi="仿宋_GB2312" w:eastAsia="仿宋_GB2312" w:cs="仿宋_GB2312"/>
                <w:sz w:val="21"/>
                <w:szCs w:val="24"/>
                <w:highlight w:val="none"/>
              </w:rPr>
            </w:pPr>
            <w:r>
              <w:rPr>
                <w:rFonts w:hint="eastAsia" w:ascii="仿宋_GB2312" w:eastAsia="仿宋_GB2312"/>
                <w:sz w:val="24"/>
                <w:szCs w:val="24"/>
                <w:highlight w:val="none"/>
              </w:rPr>
              <w:t>《行政复议法》修订后广州行政复议工作创新发展研究</w:t>
            </w:r>
          </w:p>
        </w:tc>
        <w:tc>
          <w:tcPr>
            <w:tcW w:w="1292" w:type="pct"/>
            <w:vAlign w:val="center"/>
          </w:tcPr>
          <w:p>
            <w:pPr>
              <w:pStyle w:val="10"/>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right="0" w:firstLine="480" w:firstLineChars="200"/>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　　</w:t>
            </w:r>
          </w:p>
          <w:p>
            <w:pPr>
              <w:pStyle w:val="10"/>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right="0" w:firstLine="480" w:firstLineChars="200"/>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2023</w:t>
            </w:r>
            <w:r>
              <w:rPr>
                <w:rFonts w:hint="eastAsia" w:ascii="仿宋_GB2312" w:hAnsi="仿宋_GB2312" w:eastAsia="仿宋_GB2312" w:cs="仿宋_GB2312"/>
                <w:color w:val="auto"/>
                <w:kern w:val="2"/>
                <w:sz w:val="24"/>
                <w:szCs w:val="24"/>
                <w:highlight w:val="none"/>
                <w:lang w:val="en-US" w:eastAsia="zh-CN" w:bidi="ar-SA"/>
              </w:rPr>
              <w:t>年是全面贯彻落实党的二十大精神的开局之年、实施“十四五”规划的关键之年。为认真学习贯彻党的二十大精神，深入贯彻习近平法治思想，持续巩固深化广州行政复议体制改革成果，</w:t>
            </w:r>
            <w:r>
              <w:rPr>
                <w:rFonts w:hint="eastAsia" w:ascii="仿宋_GB2312" w:eastAsia="仿宋_GB2312"/>
                <w:sz w:val="24"/>
                <w:szCs w:val="24"/>
                <w:highlight w:val="none"/>
              </w:rPr>
              <w:t>持续当好全国全省行政复议工作排头兵，</w:t>
            </w:r>
            <w:r>
              <w:rPr>
                <w:rFonts w:hint="eastAsia" w:ascii="仿宋_GB2312" w:hAnsi="仿宋_GB2312" w:eastAsia="仿宋_GB2312" w:cs="仿宋_GB2312"/>
                <w:color w:val="auto"/>
                <w:kern w:val="2"/>
                <w:sz w:val="24"/>
                <w:szCs w:val="24"/>
                <w:highlight w:val="none"/>
                <w:lang w:val="en-US" w:eastAsia="zh-CN" w:bidi="ar-SA"/>
              </w:rPr>
              <w:t>有必要对行政复议理论进行深入研究，</w:t>
            </w:r>
            <w:r>
              <w:rPr>
                <w:rFonts w:hint="eastAsia" w:ascii="仿宋_GB2312" w:eastAsia="仿宋_GB2312"/>
                <w:sz w:val="24"/>
                <w:szCs w:val="24"/>
                <w:highlight w:val="none"/>
              </w:rPr>
              <w:t>发挥行政复议法治保障作用</w:t>
            </w:r>
            <w:r>
              <w:rPr>
                <w:rFonts w:hint="eastAsia" w:ascii="仿宋_GB2312" w:eastAsia="仿宋_GB2312"/>
                <w:sz w:val="24"/>
                <w:szCs w:val="24"/>
                <w:highlight w:val="none"/>
                <w:lang w:eastAsia="zh-CN"/>
              </w:rPr>
              <w:t>，更好地</w:t>
            </w:r>
            <w:r>
              <w:rPr>
                <w:rFonts w:hint="eastAsia" w:ascii="仿宋_GB2312" w:hAnsi="仿宋_GB2312" w:eastAsia="仿宋_GB2312" w:cs="仿宋_GB2312"/>
                <w:color w:val="auto"/>
                <w:kern w:val="2"/>
                <w:sz w:val="24"/>
                <w:szCs w:val="24"/>
                <w:highlight w:val="none"/>
                <w:lang w:val="en-US" w:eastAsia="zh-CN" w:bidi="ar-SA"/>
              </w:rPr>
              <w:t>服务法治广州建设和经济社会大局</w:t>
            </w:r>
            <w:r>
              <w:rPr>
                <w:rFonts w:hint="eastAsia" w:ascii="仿宋_GB2312" w:eastAsia="仿宋_GB2312"/>
                <w:sz w:val="24"/>
                <w:szCs w:val="24"/>
                <w:highlight w:val="none"/>
              </w:rPr>
              <w:t>。</w:t>
            </w:r>
          </w:p>
          <w:p>
            <w:pPr>
              <w:pStyle w:val="10"/>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firstLineChars="200"/>
              <w:jc w:val="left"/>
              <w:textAlignment w:val="auto"/>
              <w:rPr>
                <w:rFonts w:hint="eastAsia" w:ascii="仿宋_GB2312" w:hAnsi="仿宋_GB2312" w:eastAsia="仿宋_GB2312" w:cs="仿宋_GB2312"/>
                <w:szCs w:val="21"/>
                <w:highlight w:val="none"/>
              </w:rPr>
            </w:pPr>
          </w:p>
        </w:tc>
        <w:tc>
          <w:tcPr>
            <w:tcW w:w="1910" w:type="pct"/>
            <w:vAlign w:val="center"/>
          </w:tcPr>
          <w:p>
            <w:pPr>
              <w:spacing w:line="360" w:lineRule="exact"/>
              <w:jc w:val="left"/>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　　</w:t>
            </w:r>
            <w:r>
              <w:rPr>
                <w:rFonts w:hint="eastAsia" w:ascii="仿宋_GB2312" w:eastAsia="仿宋_GB2312"/>
                <w:sz w:val="24"/>
                <w:szCs w:val="24"/>
                <w:highlight w:val="none"/>
              </w:rPr>
              <w:t>一、广州行政复议工作现状分析</w:t>
            </w:r>
            <w:r>
              <w:rPr>
                <w:rFonts w:hint="eastAsia" w:ascii="仿宋_GB2312" w:eastAsia="仿宋_GB2312"/>
                <w:sz w:val="24"/>
                <w:szCs w:val="24"/>
                <w:highlight w:val="none"/>
                <w:lang w:eastAsia="zh-CN"/>
              </w:rPr>
              <w:t>。</w:t>
            </w:r>
          </w:p>
          <w:p>
            <w:pPr>
              <w:spacing w:line="360" w:lineRule="exact"/>
              <w:jc w:val="left"/>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　　</w:t>
            </w:r>
            <w:r>
              <w:rPr>
                <w:rFonts w:hint="eastAsia" w:ascii="仿宋_GB2312" w:eastAsia="仿宋_GB2312"/>
                <w:sz w:val="24"/>
                <w:szCs w:val="24"/>
                <w:highlight w:val="none"/>
                <w:lang w:val="en-US" w:eastAsia="zh-CN"/>
              </w:rPr>
              <w:t>1.</w:t>
            </w:r>
            <w:r>
              <w:rPr>
                <w:rFonts w:hint="eastAsia" w:ascii="仿宋_GB2312" w:eastAsia="仿宋_GB2312"/>
                <w:sz w:val="24"/>
                <w:szCs w:val="24"/>
                <w:highlight w:val="none"/>
              </w:rPr>
              <w:t>广州近年行政复议案件情况分析</w:t>
            </w:r>
            <w:r>
              <w:rPr>
                <w:rFonts w:hint="eastAsia" w:ascii="仿宋_GB2312" w:eastAsia="仿宋_GB2312"/>
                <w:sz w:val="24"/>
                <w:szCs w:val="24"/>
                <w:highlight w:val="none"/>
                <w:lang w:eastAsia="zh-CN"/>
              </w:rPr>
              <w:t>；</w:t>
            </w:r>
          </w:p>
          <w:p>
            <w:pPr>
              <w:spacing w:line="360" w:lineRule="exact"/>
              <w:jc w:val="left"/>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　　</w:t>
            </w:r>
            <w:r>
              <w:rPr>
                <w:rFonts w:hint="eastAsia" w:ascii="仿宋_GB2312" w:eastAsia="仿宋_GB2312"/>
                <w:sz w:val="24"/>
                <w:szCs w:val="24"/>
                <w:highlight w:val="none"/>
                <w:lang w:val="en-US" w:eastAsia="zh-CN"/>
              </w:rPr>
              <w:t>2.</w:t>
            </w:r>
            <w:r>
              <w:rPr>
                <w:rFonts w:hint="eastAsia" w:ascii="仿宋_GB2312" w:eastAsia="仿宋_GB2312"/>
                <w:sz w:val="24"/>
                <w:szCs w:val="24"/>
                <w:highlight w:val="none"/>
              </w:rPr>
              <w:t>广州行政复议机构设置、队伍建设、机制建设等情况分析</w:t>
            </w:r>
            <w:r>
              <w:rPr>
                <w:rFonts w:hint="eastAsia" w:ascii="仿宋_GB2312" w:eastAsia="仿宋_GB2312"/>
                <w:sz w:val="24"/>
                <w:szCs w:val="24"/>
                <w:highlight w:val="none"/>
                <w:lang w:eastAsia="zh-CN"/>
              </w:rPr>
              <w:t>；</w:t>
            </w:r>
          </w:p>
          <w:p>
            <w:pPr>
              <w:spacing w:line="360" w:lineRule="exact"/>
              <w:jc w:val="left"/>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　　</w:t>
            </w:r>
            <w:r>
              <w:rPr>
                <w:rFonts w:hint="eastAsia" w:ascii="仿宋_GB2312" w:eastAsia="仿宋_GB2312"/>
                <w:sz w:val="24"/>
                <w:szCs w:val="24"/>
                <w:highlight w:val="none"/>
                <w:lang w:val="en-US" w:eastAsia="zh-CN"/>
              </w:rPr>
              <w:t>3.</w:t>
            </w:r>
            <w:r>
              <w:rPr>
                <w:rFonts w:hint="eastAsia" w:ascii="仿宋_GB2312" w:eastAsia="仿宋_GB2312"/>
                <w:sz w:val="24"/>
                <w:szCs w:val="24"/>
                <w:highlight w:val="none"/>
              </w:rPr>
              <w:t>广州行政复议工作优势及成效</w:t>
            </w:r>
            <w:r>
              <w:rPr>
                <w:rFonts w:hint="eastAsia" w:ascii="仿宋_GB2312" w:eastAsia="仿宋_GB2312"/>
                <w:sz w:val="24"/>
                <w:szCs w:val="24"/>
                <w:highlight w:val="none"/>
                <w:lang w:eastAsia="zh-CN"/>
              </w:rPr>
              <w:t>；</w:t>
            </w:r>
          </w:p>
          <w:p>
            <w:pPr>
              <w:spacing w:line="360" w:lineRule="exact"/>
              <w:jc w:val="left"/>
              <w:rPr>
                <w:rFonts w:hint="eastAsia" w:ascii="仿宋_GB2312" w:eastAsia="仿宋_GB2312"/>
                <w:sz w:val="24"/>
                <w:szCs w:val="24"/>
                <w:highlight w:val="none"/>
                <w:lang w:eastAsia="zh-CN"/>
              </w:rPr>
            </w:pPr>
            <w:r>
              <w:rPr>
                <w:rFonts w:hint="eastAsia" w:ascii="仿宋_GB2312" w:eastAsia="仿宋_GB2312"/>
                <w:sz w:val="24"/>
                <w:szCs w:val="24"/>
                <w:highlight w:val="none"/>
                <w:lang w:val="en-US" w:eastAsia="zh-CN"/>
              </w:rPr>
              <w:t>　　4.</w:t>
            </w:r>
            <w:r>
              <w:rPr>
                <w:rFonts w:hint="eastAsia" w:ascii="仿宋_GB2312" w:eastAsia="仿宋_GB2312"/>
                <w:sz w:val="24"/>
                <w:szCs w:val="24"/>
                <w:highlight w:val="none"/>
              </w:rPr>
              <w:t>广州行政复议工作短板和问题</w:t>
            </w:r>
            <w:r>
              <w:rPr>
                <w:rFonts w:hint="eastAsia" w:ascii="仿宋_GB2312" w:eastAsia="仿宋_GB2312"/>
                <w:sz w:val="24"/>
                <w:szCs w:val="24"/>
                <w:highlight w:val="none"/>
                <w:lang w:eastAsia="zh-CN"/>
              </w:rPr>
              <w:t>。</w:t>
            </w:r>
          </w:p>
          <w:p>
            <w:pPr>
              <w:spacing w:line="360" w:lineRule="exact"/>
              <w:jc w:val="left"/>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　　</w:t>
            </w:r>
            <w:r>
              <w:rPr>
                <w:rFonts w:hint="eastAsia" w:ascii="仿宋_GB2312" w:eastAsia="仿宋_GB2312"/>
                <w:sz w:val="24"/>
                <w:szCs w:val="24"/>
                <w:highlight w:val="none"/>
              </w:rPr>
              <w:t>二、行政复议法修订实施对广州行政复议工作带来的机遇和挑战</w:t>
            </w:r>
            <w:r>
              <w:rPr>
                <w:rFonts w:hint="eastAsia" w:ascii="仿宋_GB2312" w:eastAsia="仿宋_GB2312"/>
                <w:sz w:val="24"/>
                <w:szCs w:val="24"/>
                <w:highlight w:val="none"/>
                <w:lang w:eastAsia="zh-CN"/>
              </w:rPr>
              <w:t>。</w:t>
            </w:r>
          </w:p>
          <w:p>
            <w:pPr>
              <w:spacing w:line="360" w:lineRule="exact"/>
              <w:jc w:val="left"/>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　　</w:t>
            </w:r>
            <w:r>
              <w:rPr>
                <w:rFonts w:hint="eastAsia" w:ascii="仿宋_GB2312" w:eastAsia="仿宋_GB2312"/>
                <w:sz w:val="24"/>
                <w:szCs w:val="24"/>
                <w:highlight w:val="none"/>
                <w:lang w:val="en-US" w:eastAsia="zh-CN"/>
              </w:rPr>
              <w:t>1.</w:t>
            </w:r>
            <w:r>
              <w:rPr>
                <w:rFonts w:hint="eastAsia" w:ascii="仿宋_GB2312" w:eastAsia="仿宋_GB2312"/>
                <w:sz w:val="24"/>
                <w:szCs w:val="24"/>
                <w:highlight w:val="none"/>
              </w:rPr>
              <w:t>行政复议案件数量、类型、结构等变化预测</w:t>
            </w:r>
            <w:r>
              <w:rPr>
                <w:rFonts w:hint="eastAsia" w:ascii="仿宋_GB2312" w:eastAsia="仿宋_GB2312"/>
                <w:sz w:val="24"/>
                <w:szCs w:val="24"/>
                <w:highlight w:val="none"/>
                <w:lang w:eastAsia="zh-CN"/>
              </w:rPr>
              <w:t>；</w:t>
            </w:r>
          </w:p>
          <w:p>
            <w:pPr>
              <w:spacing w:line="360" w:lineRule="exact"/>
              <w:jc w:val="left"/>
              <w:rPr>
                <w:rFonts w:hint="eastAsia" w:ascii="仿宋_GB2312" w:eastAsia="仿宋_GB2312"/>
                <w:sz w:val="24"/>
                <w:szCs w:val="24"/>
                <w:highlight w:val="none"/>
                <w:lang w:eastAsia="zh-CN"/>
              </w:rPr>
            </w:pPr>
            <w:r>
              <w:rPr>
                <w:rFonts w:hint="eastAsia" w:ascii="仿宋_GB2312" w:eastAsia="仿宋_GB2312"/>
                <w:sz w:val="24"/>
                <w:szCs w:val="24"/>
                <w:highlight w:val="none"/>
                <w:lang w:val="en-US" w:eastAsia="zh-CN"/>
              </w:rPr>
              <w:t>　　2.</w:t>
            </w:r>
            <w:r>
              <w:rPr>
                <w:rFonts w:hint="eastAsia" w:ascii="仿宋_GB2312" w:eastAsia="仿宋_GB2312"/>
                <w:sz w:val="24"/>
                <w:szCs w:val="24"/>
                <w:highlight w:val="none"/>
              </w:rPr>
              <w:t>对广州复议案件受理工作的机遇和挑战</w:t>
            </w:r>
            <w:r>
              <w:rPr>
                <w:rFonts w:hint="eastAsia" w:ascii="仿宋_GB2312" w:eastAsia="仿宋_GB2312"/>
                <w:sz w:val="24"/>
                <w:szCs w:val="24"/>
                <w:highlight w:val="none"/>
                <w:lang w:eastAsia="zh-CN"/>
              </w:rPr>
              <w:t>；</w:t>
            </w:r>
          </w:p>
          <w:p>
            <w:pPr>
              <w:spacing w:line="360" w:lineRule="exact"/>
              <w:jc w:val="left"/>
              <w:rPr>
                <w:rFonts w:hint="eastAsia" w:ascii="仿宋_GB2312" w:eastAsia="仿宋_GB2312"/>
                <w:sz w:val="24"/>
                <w:szCs w:val="24"/>
                <w:highlight w:val="none"/>
                <w:lang w:eastAsia="zh-CN"/>
              </w:rPr>
            </w:pPr>
            <w:r>
              <w:rPr>
                <w:rFonts w:hint="eastAsia" w:ascii="仿宋_GB2312" w:eastAsia="仿宋_GB2312"/>
                <w:sz w:val="24"/>
                <w:szCs w:val="24"/>
                <w:highlight w:val="none"/>
                <w:lang w:val="en-US" w:eastAsia="zh-CN"/>
              </w:rPr>
              <w:t>　　3.</w:t>
            </w:r>
            <w:r>
              <w:rPr>
                <w:rFonts w:hint="eastAsia" w:ascii="仿宋_GB2312" w:eastAsia="仿宋_GB2312"/>
                <w:sz w:val="24"/>
                <w:szCs w:val="24"/>
                <w:highlight w:val="none"/>
              </w:rPr>
              <w:t>对广州复议案件办理质效带来的挑战</w:t>
            </w:r>
            <w:r>
              <w:rPr>
                <w:rFonts w:hint="eastAsia" w:ascii="仿宋_GB2312" w:eastAsia="仿宋_GB2312"/>
                <w:sz w:val="24"/>
                <w:szCs w:val="24"/>
                <w:highlight w:val="none"/>
                <w:lang w:eastAsia="zh-CN"/>
              </w:rPr>
              <w:t>；</w:t>
            </w:r>
          </w:p>
          <w:p>
            <w:pPr>
              <w:spacing w:line="360" w:lineRule="exact"/>
              <w:jc w:val="left"/>
              <w:rPr>
                <w:rFonts w:hint="eastAsia" w:ascii="仿宋_GB2312" w:eastAsia="仿宋_GB2312"/>
                <w:sz w:val="24"/>
                <w:szCs w:val="24"/>
                <w:highlight w:val="none"/>
                <w:lang w:eastAsia="zh-CN"/>
              </w:rPr>
            </w:pPr>
            <w:r>
              <w:rPr>
                <w:rFonts w:hint="eastAsia" w:ascii="仿宋_GB2312" w:eastAsia="仿宋_GB2312"/>
                <w:sz w:val="24"/>
                <w:szCs w:val="24"/>
                <w:highlight w:val="none"/>
                <w:lang w:val="en-US" w:eastAsia="zh-CN"/>
              </w:rPr>
              <w:t>　　4.</w:t>
            </w:r>
            <w:r>
              <w:rPr>
                <w:rFonts w:hint="eastAsia" w:ascii="仿宋_GB2312" w:eastAsia="仿宋_GB2312"/>
                <w:sz w:val="24"/>
                <w:szCs w:val="24"/>
                <w:highlight w:val="none"/>
              </w:rPr>
              <w:t>对广州加强行政复议规范化建设的新要求</w:t>
            </w:r>
            <w:r>
              <w:rPr>
                <w:rFonts w:hint="eastAsia" w:ascii="仿宋_GB2312" w:eastAsia="仿宋_GB2312"/>
                <w:sz w:val="24"/>
                <w:szCs w:val="24"/>
                <w:highlight w:val="none"/>
                <w:lang w:eastAsia="zh-CN"/>
              </w:rPr>
              <w:t>；</w:t>
            </w:r>
          </w:p>
          <w:p>
            <w:pPr>
              <w:spacing w:line="360" w:lineRule="exact"/>
              <w:jc w:val="left"/>
              <w:rPr>
                <w:rFonts w:hint="eastAsia" w:ascii="仿宋_GB2312" w:eastAsia="仿宋_GB2312"/>
                <w:sz w:val="24"/>
                <w:szCs w:val="24"/>
                <w:highlight w:val="none"/>
                <w:lang w:eastAsia="zh-CN"/>
              </w:rPr>
            </w:pPr>
            <w:r>
              <w:rPr>
                <w:rFonts w:hint="eastAsia" w:ascii="仿宋_GB2312" w:eastAsia="仿宋_GB2312"/>
                <w:sz w:val="24"/>
                <w:szCs w:val="24"/>
                <w:highlight w:val="none"/>
                <w:lang w:val="en-US" w:eastAsia="zh-CN"/>
              </w:rPr>
              <w:t>　　5.</w:t>
            </w:r>
            <w:r>
              <w:rPr>
                <w:rFonts w:hint="eastAsia" w:ascii="仿宋_GB2312" w:eastAsia="仿宋_GB2312"/>
                <w:sz w:val="24"/>
                <w:szCs w:val="24"/>
                <w:highlight w:val="none"/>
              </w:rPr>
              <w:t>对广州诉源治理的新要求</w:t>
            </w:r>
            <w:r>
              <w:rPr>
                <w:rFonts w:hint="eastAsia" w:ascii="仿宋_GB2312" w:eastAsia="仿宋_GB2312"/>
                <w:sz w:val="24"/>
                <w:szCs w:val="24"/>
                <w:highlight w:val="none"/>
                <w:lang w:eastAsia="zh-CN"/>
              </w:rPr>
              <w:t>；</w:t>
            </w:r>
          </w:p>
          <w:p>
            <w:pPr>
              <w:spacing w:line="360" w:lineRule="exact"/>
              <w:jc w:val="left"/>
              <w:rPr>
                <w:rFonts w:hint="eastAsia" w:ascii="仿宋_GB2312" w:eastAsia="仿宋_GB2312"/>
                <w:sz w:val="24"/>
                <w:szCs w:val="24"/>
                <w:highlight w:val="none"/>
                <w:lang w:eastAsia="zh-CN"/>
              </w:rPr>
            </w:pPr>
            <w:r>
              <w:rPr>
                <w:rFonts w:hint="eastAsia" w:ascii="仿宋_GB2312" w:eastAsia="仿宋_GB2312"/>
                <w:sz w:val="24"/>
                <w:szCs w:val="24"/>
                <w:highlight w:val="none"/>
                <w:lang w:val="en-US" w:eastAsia="zh-CN"/>
              </w:rPr>
              <w:t>　　6.</w:t>
            </w:r>
            <w:r>
              <w:rPr>
                <w:rFonts w:hint="eastAsia" w:ascii="仿宋_GB2312" w:eastAsia="仿宋_GB2312"/>
                <w:sz w:val="24"/>
                <w:szCs w:val="24"/>
                <w:highlight w:val="none"/>
              </w:rPr>
              <w:t>广州行政复议服务中心</w:t>
            </w:r>
            <w:r>
              <w:rPr>
                <w:rFonts w:hint="eastAsia" w:ascii="仿宋_GB2312" w:eastAsia="仿宋_GB2312"/>
                <w:sz w:val="24"/>
                <w:szCs w:val="24"/>
                <w:highlight w:val="none"/>
                <w:lang w:eastAsia="zh-CN"/>
              </w:rPr>
              <w:t>面临</w:t>
            </w:r>
            <w:r>
              <w:rPr>
                <w:rFonts w:hint="eastAsia" w:ascii="仿宋_GB2312" w:eastAsia="仿宋_GB2312"/>
                <w:sz w:val="24"/>
                <w:szCs w:val="24"/>
                <w:highlight w:val="none"/>
              </w:rPr>
              <w:t>的机遇和挑战</w:t>
            </w:r>
            <w:r>
              <w:rPr>
                <w:rFonts w:hint="eastAsia" w:ascii="仿宋_GB2312" w:eastAsia="仿宋_GB2312"/>
                <w:sz w:val="24"/>
                <w:szCs w:val="24"/>
                <w:highlight w:val="none"/>
                <w:lang w:eastAsia="zh-CN"/>
              </w:rPr>
              <w:t>。</w:t>
            </w:r>
          </w:p>
          <w:p>
            <w:pPr>
              <w:spacing w:line="360" w:lineRule="exact"/>
              <w:jc w:val="left"/>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　　三</w:t>
            </w:r>
            <w:r>
              <w:rPr>
                <w:rFonts w:hint="eastAsia" w:ascii="仿宋_GB2312" w:eastAsia="仿宋_GB2312"/>
                <w:sz w:val="24"/>
                <w:szCs w:val="24"/>
                <w:highlight w:val="none"/>
              </w:rPr>
              <w:t>、广州行政复议工作创新发展的对策和建议</w:t>
            </w:r>
            <w:r>
              <w:rPr>
                <w:rFonts w:hint="eastAsia" w:ascii="仿宋_GB2312" w:eastAsia="仿宋_GB2312"/>
                <w:sz w:val="24"/>
                <w:szCs w:val="24"/>
                <w:highlight w:val="none"/>
                <w:lang w:eastAsia="zh-CN"/>
              </w:rPr>
              <w:t>。</w:t>
            </w:r>
          </w:p>
          <w:p>
            <w:pPr>
              <w:spacing w:line="360" w:lineRule="exact"/>
              <w:jc w:val="left"/>
              <w:rPr>
                <w:rFonts w:hint="eastAsia" w:ascii="仿宋_GB2312" w:eastAsia="仿宋_GB2312"/>
                <w:sz w:val="24"/>
                <w:szCs w:val="24"/>
                <w:highlight w:val="none"/>
                <w:lang w:eastAsia="zh-CN"/>
              </w:rPr>
            </w:pPr>
            <w:r>
              <w:rPr>
                <w:rFonts w:hint="eastAsia" w:ascii="仿宋_GB2312" w:eastAsia="仿宋_GB2312"/>
                <w:sz w:val="24"/>
                <w:szCs w:val="24"/>
                <w:highlight w:val="none"/>
                <w:lang w:val="en-US" w:eastAsia="zh-CN"/>
              </w:rPr>
              <w:t>　　1.</w:t>
            </w:r>
            <w:r>
              <w:rPr>
                <w:rFonts w:hint="eastAsia" w:ascii="仿宋_GB2312" w:eastAsia="仿宋_GB2312"/>
                <w:sz w:val="24"/>
                <w:szCs w:val="24"/>
                <w:highlight w:val="none"/>
              </w:rPr>
              <w:t>服务大局方面的对策和建议</w:t>
            </w:r>
            <w:r>
              <w:rPr>
                <w:rFonts w:hint="eastAsia" w:ascii="仿宋_GB2312" w:eastAsia="仿宋_GB2312"/>
                <w:sz w:val="24"/>
                <w:szCs w:val="24"/>
                <w:highlight w:val="none"/>
                <w:lang w:eastAsia="zh-CN"/>
              </w:rPr>
              <w:t>；</w:t>
            </w:r>
          </w:p>
          <w:p>
            <w:pPr>
              <w:spacing w:line="360" w:lineRule="exact"/>
              <w:jc w:val="left"/>
              <w:rPr>
                <w:rFonts w:hint="eastAsia" w:ascii="仿宋_GB2312" w:eastAsia="仿宋_GB2312"/>
                <w:sz w:val="24"/>
                <w:szCs w:val="24"/>
                <w:highlight w:val="none"/>
                <w:lang w:eastAsia="zh-CN"/>
              </w:rPr>
            </w:pPr>
            <w:r>
              <w:rPr>
                <w:rFonts w:hint="eastAsia" w:ascii="仿宋_GB2312" w:eastAsia="仿宋_GB2312"/>
                <w:sz w:val="24"/>
                <w:szCs w:val="24"/>
                <w:highlight w:val="none"/>
                <w:lang w:val="en-US" w:eastAsia="zh-CN"/>
              </w:rPr>
              <w:t>　　2.</w:t>
            </w:r>
            <w:r>
              <w:rPr>
                <w:rFonts w:hint="eastAsia" w:ascii="仿宋_GB2312" w:eastAsia="仿宋_GB2312"/>
                <w:sz w:val="24"/>
                <w:szCs w:val="24"/>
                <w:highlight w:val="none"/>
              </w:rPr>
              <w:t>能动复议方面的对策和建议</w:t>
            </w:r>
            <w:r>
              <w:rPr>
                <w:rFonts w:hint="eastAsia" w:ascii="仿宋_GB2312" w:eastAsia="仿宋_GB2312"/>
                <w:sz w:val="24"/>
                <w:szCs w:val="24"/>
                <w:highlight w:val="none"/>
                <w:lang w:eastAsia="zh-CN"/>
              </w:rPr>
              <w:t>；</w:t>
            </w:r>
          </w:p>
          <w:p>
            <w:pPr>
              <w:spacing w:line="360" w:lineRule="exact"/>
              <w:jc w:val="left"/>
              <w:rPr>
                <w:rFonts w:hint="eastAsia" w:ascii="仿宋_GB2312" w:eastAsia="仿宋_GB2312"/>
                <w:sz w:val="24"/>
                <w:szCs w:val="24"/>
                <w:highlight w:val="none"/>
                <w:lang w:eastAsia="zh-CN"/>
              </w:rPr>
            </w:pPr>
            <w:r>
              <w:rPr>
                <w:rFonts w:hint="eastAsia" w:ascii="仿宋_GB2312" w:eastAsia="仿宋_GB2312"/>
                <w:sz w:val="24"/>
                <w:szCs w:val="24"/>
                <w:highlight w:val="none"/>
                <w:lang w:val="en-US" w:eastAsia="zh-CN"/>
              </w:rPr>
              <w:t>　　3.</w:t>
            </w:r>
            <w:r>
              <w:rPr>
                <w:rFonts w:hint="eastAsia" w:ascii="仿宋_GB2312" w:eastAsia="仿宋_GB2312"/>
                <w:sz w:val="24"/>
                <w:szCs w:val="24"/>
                <w:highlight w:val="none"/>
              </w:rPr>
              <w:t>完善制度方面的对策和建议</w:t>
            </w:r>
            <w:r>
              <w:rPr>
                <w:rFonts w:hint="eastAsia" w:ascii="仿宋_GB2312" w:eastAsia="仿宋_GB2312"/>
                <w:sz w:val="24"/>
                <w:szCs w:val="24"/>
                <w:highlight w:val="none"/>
                <w:lang w:eastAsia="zh-CN"/>
              </w:rPr>
              <w:t>；</w:t>
            </w:r>
          </w:p>
          <w:p>
            <w:pPr>
              <w:spacing w:line="360" w:lineRule="exact"/>
              <w:jc w:val="left"/>
              <w:rPr>
                <w:rFonts w:hint="eastAsia" w:ascii="仿宋_GB2312" w:eastAsia="仿宋_GB2312"/>
                <w:sz w:val="24"/>
                <w:szCs w:val="24"/>
                <w:highlight w:val="none"/>
                <w:lang w:eastAsia="zh-CN"/>
              </w:rPr>
            </w:pPr>
            <w:r>
              <w:rPr>
                <w:rFonts w:hint="eastAsia" w:ascii="仿宋_GB2312" w:eastAsia="仿宋_GB2312"/>
                <w:sz w:val="24"/>
                <w:szCs w:val="24"/>
                <w:highlight w:val="none"/>
                <w:lang w:val="en-US" w:eastAsia="zh-CN"/>
              </w:rPr>
              <w:t>　　4.</w:t>
            </w:r>
            <w:r>
              <w:rPr>
                <w:rFonts w:hint="eastAsia" w:ascii="仿宋_GB2312" w:eastAsia="仿宋_GB2312"/>
                <w:sz w:val="24"/>
                <w:szCs w:val="24"/>
                <w:highlight w:val="none"/>
              </w:rPr>
              <w:t>建强队伍方面的对策和建议</w:t>
            </w:r>
            <w:r>
              <w:rPr>
                <w:rFonts w:hint="eastAsia" w:ascii="仿宋_GB2312" w:eastAsia="仿宋_GB2312"/>
                <w:sz w:val="24"/>
                <w:szCs w:val="24"/>
                <w:highlight w:val="none"/>
                <w:lang w:eastAsia="zh-CN"/>
              </w:rPr>
              <w:t>。</w:t>
            </w:r>
          </w:p>
          <w:p>
            <w:pPr>
              <w:spacing w:line="360" w:lineRule="exact"/>
              <w:jc w:val="left"/>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黑体" w:hAnsi="黑体" w:eastAsia="黑体" w:cs="黑体"/>
                <w:b w:val="0"/>
                <w:bCs w:val="0"/>
                <w:color w:val="auto"/>
                <w:kern w:val="2"/>
                <w:sz w:val="24"/>
                <w:szCs w:val="24"/>
                <w:highlight w:val="none"/>
                <w:lang w:val="en-US" w:eastAsia="zh-CN" w:bidi="ar-SA"/>
              </w:rPr>
              <w:t>　　</w:t>
            </w:r>
          </w:p>
        </w:tc>
        <w:tc>
          <w:tcPr>
            <w:tcW w:w="531" w:type="pct"/>
            <w:vAlign w:val="center"/>
          </w:tcPr>
          <w:p>
            <w:pPr>
              <w:widowControl/>
              <w:spacing w:line="320" w:lineRule="exact"/>
              <w:ind w:firstLine="0" w:firstLineChars="0"/>
              <w:jc w:val="left"/>
              <w:rPr>
                <w:rFonts w:hint="eastAsia" w:ascii="仿宋_GB2312" w:hAnsi="仿宋_GB2312" w:eastAsia="仿宋_GB2312" w:cs="仿宋_GB2312"/>
                <w:sz w:val="21"/>
                <w:szCs w:val="21"/>
                <w:highlight w:val="none"/>
                <w:lang w:val="en-US" w:eastAsia="zh-CN"/>
              </w:rPr>
            </w:pPr>
            <w:r>
              <w:rPr>
                <w:rFonts w:hint="eastAsia" w:ascii="仿宋_GB2312" w:eastAsia="仿宋_GB2312" w:cs="Times New Roman"/>
                <w:sz w:val="24"/>
                <w:szCs w:val="24"/>
                <w:highlight w:val="none"/>
                <w:lang w:val="en-US" w:eastAsia="zh-CN"/>
              </w:rPr>
              <w:t>成果包括课题研究报告、《广州市深入推进行政复议工作高质量发展的意见专家建议稿》及说明、相关资料汇编等，根据课题需要开展调研等工作。</w:t>
            </w:r>
          </w:p>
        </w:tc>
        <w:tc>
          <w:tcPr>
            <w:tcW w:w="405" w:type="pct"/>
            <w:vAlign w:val="center"/>
          </w:tcPr>
          <w:p>
            <w:pPr>
              <w:widowControl/>
              <w:spacing w:line="320" w:lineRule="exact"/>
              <w:ind w:firstLine="0" w:firstLineChars="0"/>
              <w:jc w:val="left"/>
              <w:rPr>
                <w:rStyle w:val="15"/>
                <w:rFonts w:hint="eastAsia" w:ascii="仿宋_GB2312" w:hAnsi="仿宋_GB2312" w:eastAsia="仿宋_GB2312" w:cs="仿宋_GB2312"/>
                <w:b w:val="0"/>
                <w:bCs w:val="0"/>
                <w:color w:val="000000"/>
                <w:kern w:val="0"/>
                <w:sz w:val="24"/>
                <w:szCs w:val="24"/>
                <w:highlight w:val="none"/>
                <w:shd w:val="clear" w:color="auto" w:fill="FFFFFF"/>
                <w:lang w:eastAsia="zh-CN" w:bidi="ar"/>
              </w:rPr>
            </w:pPr>
            <w:r>
              <w:rPr>
                <w:rStyle w:val="15"/>
                <w:rFonts w:hint="eastAsia" w:ascii="仿宋_GB2312" w:hAnsi="仿宋_GB2312" w:eastAsia="仿宋_GB2312" w:cs="仿宋_GB2312"/>
                <w:b w:val="0"/>
                <w:bCs w:val="0"/>
                <w:color w:val="000000"/>
                <w:kern w:val="0"/>
                <w:sz w:val="24"/>
                <w:szCs w:val="24"/>
                <w:highlight w:val="none"/>
                <w:shd w:val="clear" w:color="auto" w:fill="FFFFFF"/>
                <w:lang w:eastAsia="zh-CN" w:bidi="ar"/>
              </w:rPr>
              <w:t>委托单位拨付，</w:t>
            </w:r>
            <w:r>
              <w:rPr>
                <w:rStyle w:val="15"/>
                <w:rFonts w:hint="eastAsia" w:ascii="仿宋_GB2312" w:hAnsi="仿宋_GB2312" w:eastAsia="仿宋_GB2312" w:cs="仿宋_GB2312"/>
                <w:b w:val="0"/>
                <w:bCs w:val="0"/>
                <w:color w:val="000000"/>
                <w:kern w:val="0"/>
                <w:sz w:val="24"/>
                <w:szCs w:val="24"/>
                <w:highlight w:val="none"/>
                <w:shd w:val="clear" w:color="auto" w:fill="FFFFFF"/>
                <w:lang w:val="en-US" w:eastAsia="zh-CN" w:bidi="ar"/>
              </w:rPr>
              <w:t>8</w:t>
            </w:r>
            <w:r>
              <w:rPr>
                <w:rStyle w:val="15"/>
                <w:rFonts w:ascii="仿宋_GB2312" w:hAnsi="仿宋_GB2312" w:eastAsia="仿宋_GB2312" w:cs="仿宋_GB2312"/>
                <w:b w:val="0"/>
                <w:bCs w:val="0"/>
                <w:color w:val="000000"/>
                <w:kern w:val="0"/>
                <w:sz w:val="24"/>
                <w:szCs w:val="24"/>
                <w:highlight w:val="none"/>
                <w:shd w:val="clear" w:color="auto" w:fill="FFFFFF"/>
                <w:lang w:bidi="ar"/>
              </w:rPr>
              <w:t>万元</w:t>
            </w:r>
            <w:r>
              <w:rPr>
                <w:rStyle w:val="15"/>
                <w:rFonts w:hint="eastAsia" w:ascii="仿宋_GB2312" w:hAnsi="仿宋_GB2312" w:eastAsia="仿宋_GB2312" w:cs="仿宋_GB2312"/>
                <w:b w:val="0"/>
                <w:bCs w:val="0"/>
                <w:color w:val="000000"/>
                <w:kern w:val="0"/>
                <w:sz w:val="24"/>
                <w:szCs w:val="24"/>
                <w:highlight w:val="none"/>
                <w:shd w:val="clear" w:color="auto" w:fill="FFFFFF"/>
                <w:lang w:eastAsia="zh-CN" w:bidi="ar"/>
              </w:rPr>
              <w:t>（含税）</w:t>
            </w:r>
          </w:p>
        </w:tc>
      </w:tr>
    </w:tbl>
    <w:p/>
    <w:p>
      <w:pPr>
        <w:pStyle w:val="2"/>
      </w:pPr>
    </w:p>
    <w:p/>
    <w:p/>
    <w:p>
      <w:pPr>
        <w:pStyle w:val="2"/>
      </w:pPr>
    </w:p>
    <w:p/>
    <w:p>
      <w:pPr>
        <w:pStyle w:val="2"/>
      </w:pPr>
    </w:p>
    <w:p/>
    <w:p>
      <w:pPr>
        <w:pStyle w:val="2"/>
      </w:pPr>
    </w:p>
    <w:sectPr>
      <w:footerReference r:id="rId3" w:type="default"/>
      <w:pgSz w:w="16838" w:h="11906" w:orient="landscape"/>
      <w:pgMar w:top="397" w:right="454" w:bottom="454" w:left="45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简体">
    <w:altName w:val="方正仿宋_GBK"/>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1AC4D"/>
    <w:multiLevelType w:val="singleLevel"/>
    <w:tmpl w:val="90F1AC4D"/>
    <w:lvl w:ilvl="0" w:tentative="0">
      <w:start w:val="2"/>
      <w:numFmt w:val="chineseCounting"/>
      <w:suff w:val="nothing"/>
      <w:lvlText w:val="%1、"/>
      <w:lvlJc w:val="left"/>
      <w:rPr>
        <w:rFonts w:hint="eastAsia"/>
      </w:rPr>
    </w:lvl>
  </w:abstractNum>
  <w:abstractNum w:abstractNumId="1">
    <w:nsid w:val="F1909C93"/>
    <w:multiLevelType w:val="singleLevel"/>
    <w:tmpl w:val="F1909C93"/>
    <w:lvl w:ilvl="0" w:tentative="0">
      <w:start w:val="1"/>
      <w:numFmt w:val="chineseCounting"/>
      <w:suff w:val="nothing"/>
      <w:lvlText w:val="%1、"/>
      <w:lvlJc w:val="left"/>
      <w:rPr>
        <w:rFonts w:hint="eastAsia"/>
      </w:rPr>
    </w:lvl>
  </w:abstractNum>
  <w:abstractNum w:abstractNumId="2">
    <w:nsid w:val="FFC6FCAD"/>
    <w:multiLevelType w:val="singleLevel"/>
    <w:tmpl w:val="FFC6FCAD"/>
    <w:lvl w:ilvl="0" w:tentative="0">
      <w:start w:val="1"/>
      <w:numFmt w:val="chineseCounting"/>
      <w:suff w:val="nothing"/>
      <w:lvlText w:val="%1、"/>
      <w:lvlJc w:val="left"/>
      <w:rPr>
        <w:rFonts w:hint="eastAsia"/>
      </w:rPr>
    </w:lvl>
  </w:abstractNum>
  <w:abstractNum w:abstractNumId="3">
    <w:nsid w:val="09E25B72"/>
    <w:multiLevelType w:val="multilevel"/>
    <w:tmpl w:val="09E25B7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9F5"/>
    <w:rsid w:val="0001558F"/>
    <w:rsid w:val="0002201C"/>
    <w:rsid w:val="00025657"/>
    <w:rsid w:val="00033D9F"/>
    <w:rsid w:val="00035D2E"/>
    <w:rsid w:val="00056984"/>
    <w:rsid w:val="00064666"/>
    <w:rsid w:val="0006755C"/>
    <w:rsid w:val="0008770E"/>
    <w:rsid w:val="000A3AC2"/>
    <w:rsid w:val="000A5758"/>
    <w:rsid w:val="000A7C7C"/>
    <w:rsid w:val="000C2290"/>
    <w:rsid w:val="00132CA2"/>
    <w:rsid w:val="001360E1"/>
    <w:rsid w:val="001407D7"/>
    <w:rsid w:val="00177315"/>
    <w:rsid w:val="00193BFD"/>
    <w:rsid w:val="001945EB"/>
    <w:rsid w:val="001C7DAC"/>
    <w:rsid w:val="001D7D1B"/>
    <w:rsid w:val="001E5764"/>
    <w:rsid w:val="00220EAE"/>
    <w:rsid w:val="002331F1"/>
    <w:rsid w:val="002369E2"/>
    <w:rsid w:val="00270933"/>
    <w:rsid w:val="002856E0"/>
    <w:rsid w:val="002948A0"/>
    <w:rsid w:val="002B0D8A"/>
    <w:rsid w:val="002B5074"/>
    <w:rsid w:val="00300932"/>
    <w:rsid w:val="00310BC0"/>
    <w:rsid w:val="00334E0F"/>
    <w:rsid w:val="00335ED5"/>
    <w:rsid w:val="00343F34"/>
    <w:rsid w:val="003764A2"/>
    <w:rsid w:val="003956B0"/>
    <w:rsid w:val="003A2EDF"/>
    <w:rsid w:val="003C2CA2"/>
    <w:rsid w:val="003C693D"/>
    <w:rsid w:val="003D1D93"/>
    <w:rsid w:val="003D3ED6"/>
    <w:rsid w:val="003E7677"/>
    <w:rsid w:val="004015A2"/>
    <w:rsid w:val="004277F3"/>
    <w:rsid w:val="00457A56"/>
    <w:rsid w:val="004708D1"/>
    <w:rsid w:val="00495018"/>
    <w:rsid w:val="00497445"/>
    <w:rsid w:val="004A7D4F"/>
    <w:rsid w:val="004B2D8E"/>
    <w:rsid w:val="004B3584"/>
    <w:rsid w:val="004B5719"/>
    <w:rsid w:val="004E3AC3"/>
    <w:rsid w:val="004F2D4B"/>
    <w:rsid w:val="00501603"/>
    <w:rsid w:val="0052552D"/>
    <w:rsid w:val="005435B4"/>
    <w:rsid w:val="00566670"/>
    <w:rsid w:val="00577A9C"/>
    <w:rsid w:val="005971B6"/>
    <w:rsid w:val="005A3549"/>
    <w:rsid w:val="005B0C64"/>
    <w:rsid w:val="005B495E"/>
    <w:rsid w:val="005D0BB1"/>
    <w:rsid w:val="005E37DC"/>
    <w:rsid w:val="005E6C40"/>
    <w:rsid w:val="00651774"/>
    <w:rsid w:val="00661D18"/>
    <w:rsid w:val="006821D3"/>
    <w:rsid w:val="00683111"/>
    <w:rsid w:val="006B42A7"/>
    <w:rsid w:val="006B5FD7"/>
    <w:rsid w:val="006C06B7"/>
    <w:rsid w:val="006C5C9D"/>
    <w:rsid w:val="00720B74"/>
    <w:rsid w:val="00753B3D"/>
    <w:rsid w:val="00755655"/>
    <w:rsid w:val="007614F4"/>
    <w:rsid w:val="00763C13"/>
    <w:rsid w:val="007841D3"/>
    <w:rsid w:val="007C2E6C"/>
    <w:rsid w:val="007D24DE"/>
    <w:rsid w:val="007F4823"/>
    <w:rsid w:val="00811019"/>
    <w:rsid w:val="008157BA"/>
    <w:rsid w:val="0085036B"/>
    <w:rsid w:val="008A028D"/>
    <w:rsid w:val="008A3189"/>
    <w:rsid w:val="008A6D6D"/>
    <w:rsid w:val="008C77F4"/>
    <w:rsid w:val="00925307"/>
    <w:rsid w:val="00930939"/>
    <w:rsid w:val="00930F50"/>
    <w:rsid w:val="00940A92"/>
    <w:rsid w:val="00944C65"/>
    <w:rsid w:val="00945F53"/>
    <w:rsid w:val="009862F9"/>
    <w:rsid w:val="009967BF"/>
    <w:rsid w:val="009A3486"/>
    <w:rsid w:val="009A4FF7"/>
    <w:rsid w:val="009A73D0"/>
    <w:rsid w:val="009D30FB"/>
    <w:rsid w:val="009F2E9A"/>
    <w:rsid w:val="009F5B80"/>
    <w:rsid w:val="00A01279"/>
    <w:rsid w:val="00A10DC7"/>
    <w:rsid w:val="00A42140"/>
    <w:rsid w:val="00A44CBA"/>
    <w:rsid w:val="00A50F05"/>
    <w:rsid w:val="00AA6234"/>
    <w:rsid w:val="00AF5AD9"/>
    <w:rsid w:val="00B00F74"/>
    <w:rsid w:val="00B23E88"/>
    <w:rsid w:val="00B6589C"/>
    <w:rsid w:val="00B94E87"/>
    <w:rsid w:val="00BC321F"/>
    <w:rsid w:val="00BF31A1"/>
    <w:rsid w:val="00BF4AEE"/>
    <w:rsid w:val="00C312DC"/>
    <w:rsid w:val="00C54017"/>
    <w:rsid w:val="00C900A0"/>
    <w:rsid w:val="00C93DC4"/>
    <w:rsid w:val="00CA21E8"/>
    <w:rsid w:val="00CC25EA"/>
    <w:rsid w:val="00CF32F0"/>
    <w:rsid w:val="00CF673D"/>
    <w:rsid w:val="00D03A84"/>
    <w:rsid w:val="00D320D8"/>
    <w:rsid w:val="00D334B2"/>
    <w:rsid w:val="00D37514"/>
    <w:rsid w:val="00D642F7"/>
    <w:rsid w:val="00D725CB"/>
    <w:rsid w:val="00D74DAF"/>
    <w:rsid w:val="00DC1F91"/>
    <w:rsid w:val="00DE0C0F"/>
    <w:rsid w:val="00E02C8C"/>
    <w:rsid w:val="00E10AFB"/>
    <w:rsid w:val="00E110C7"/>
    <w:rsid w:val="00E175F4"/>
    <w:rsid w:val="00E25F66"/>
    <w:rsid w:val="00E36F1A"/>
    <w:rsid w:val="00E42614"/>
    <w:rsid w:val="00E529D5"/>
    <w:rsid w:val="00E531CA"/>
    <w:rsid w:val="00E70E09"/>
    <w:rsid w:val="00E725D5"/>
    <w:rsid w:val="00E773BD"/>
    <w:rsid w:val="00E8568A"/>
    <w:rsid w:val="00EA18AA"/>
    <w:rsid w:val="00EF78C6"/>
    <w:rsid w:val="00F04A5F"/>
    <w:rsid w:val="00F25375"/>
    <w:rsid w:val="00F31417"/>
    <w:rsid w:val="00F33BF8"/>
    <w:rsid w:val="00F5241F"/>
    <w:rsid w:val="00F6018C"/>
    <w:rsid w:val="00FB0806"/>
    <w:rsid w:val="00FC5462"/>
    <w:rsid w:val="00FC612D"/>
    <w:rsid w:val="00FE1A5F"/>
    <w:rsid w:val="00FE62DB"/>
    <w:rsid w:val="00FF2F11"/>
    <w:rsid w:val="00FF34E4"/>
    <w:rsid w:val="1F7F28F4"/>
    <w:rsid w:val="1FDE1200"/>
    <w:rsid w:val="257A981B"/>
    <w:rsid w:val="2F579F09"/>
    <w:rsid w:val="2FDEB684"/>
    <w:rsid w:val="2FFFDD7C"/>
    <w:rsid w:val="377DACDA"/>
    <w:rsid w:val="39370584"/>
    <w:rsid w:val="3B7E2AF1"/>
    <w:rsid w:val="3C7F9971"/>
    <w:rsid w:val="3E7BCB7B"/>
    <w:rsid w:val="3F7FDC21"/>
    <w:rsid w:val="3FBBF638"/>
    <w:rsid w:val="3FFE17A6"/>
    <w:rsid w:val="3FFF023D"/>
    <w:rsid w:val="4FDC9C48"/>
    <w:rsid w:val="56B7FC19"/>
    <w:rsid w:val="5BBC684C"/>
    <w:rsid w:val="5F57938A"/>
    <w:rsid w:val="5FE71559"/>
    <w:rsid w:val="63AB2E0B"/>
    <w:rsid w:val="63FF5B93"/>
    <w:rsid w:val="6BBF6E01"/>
    <w:rsid w:val="6DDD3DFB"/>
    <w:rsid w:val="6DF79B2C"/>
    <w:rsid w:val="6DFF4651"/>
    <w:rsid w:val="6DFF7980"/>
    <w:rsid w:val="6EDC6B1B"/>
    <w:rsid w:val="6F3EF20B"/>
    <w:rsid w:val="6FBE6A29"/>
    <w:rsid w:val="6FDCAF90"/>
    <w:rsid w:val="6FDD27BE"/>
    <w:rsid w:val="6FE36C74"/>
    <w:rsid w:val="722B526F"/>
    <w:rsid w:val="733FDADA"/>
    <w:rsid w:val="73DFB5A8"/>
    <w:rsid w:val="73EF3029"/>
    <w:rsid w:val="76D8C782"/>
    <w:rsid w:val="77F32F54"/>
    <w:rsid w:val="77FA9840"/>
    <w:rsid w:val="77FFDF6C"/>
    <w:rsid w:val="7988D301"/>
    <w:rsid w:val="79C6D2B2"/>
    <w:rsid w:val="79DEAEEA"/>
    <w:rsid w:val="79FF58AD"/>
    <w:rsid w:val="7AB3EF90"/>
    <w:rsid w:val="7ADB78F3"/>
    <w:rsid w:val="7B5FE51F"/>
    <w:rsid w:val="7B7BD6B1"/>
    <w:rsid w:val="7BFF5DCF"/>
    <w:rsid w:val="7D778C6B"/>
    <w:rsid w:val="7D7F6EB1"/>
    <w:rsid w:val="7DDB6560"/>
    <w:rsid w:val="7DDFAC96"/>
    <w:rsid w:val="7ED37408"/>
    <w:rsid w:val="7EF35F41"/>
    <w:rsid w:val="7F4F52B8"/>
    <w:rsid w:val="7FB601B1"/>
    <w:rsid w:val="7FF21F24"/>
    <w:rsid w:val="8DA3BBC4"/>
    <w:rsid w:val="9FAF4FA9"/>
    <w:rsid w:val="A3FB2DA1"/>
    <w:rsid w:val="AEAC1E5B"/>
    <w:rsid w:val="AEEDA634"/>
    <w:rsid w:val="B31B55B0"/>
    <w:rsid w:val="B45FA2A2"/>
    <w:rsid w:val="B599E5EC"/>
    <w:rsid w:val="B6AF95AF"/>
    <w:rsid w:val="B7DEF4CA"/>
    <w:rsid w:val="B9939A3A"/>
    <w:rsid w:val="B9BF0375"/>
    <w:rsid w:val="BD972ED5"/>
    <w:rsid w:val="BE7C2C97"/>
    <w:rsid w:val="BFCD1867"/>
    <w:rsid w:val="C1F30EF4"/>
    <w:rsid w:val="C3D57314"/>
    <w:rsid w:val="C6BF46F2"/>
    <w:rsid w:val="C6FB3FC6"/>
    <w:rsid w:val="CBDFEA51"/>
    <w:rsid w:val="D07910C7"/>
    <w:rsid w:val="DDBEC2FF"/>
    <w:rsid w:val="DDFF171E"/>
    <w:rsid w:val="DE7FA595"/>
    <w:rsid w:val="DF3CF850"/>
    <w:rsid w:val="DFCC7E5F"/>
    <w:rsid w:val="DFF524AA"/>
    <w:rsid w:val="DFF9BC9B"/>
    <w:rsid w:val="DFFF917E"/>
    <w:rsid w:val="E597A7B4"/>
    <w:rsid w:val="E6F78B0C"/>
    <w:rsid w:val="E99F0D52"/>
    <w:rsid w:val="EDFEE213"/>
    <w:rsid w:val="EE6D3723"/>
    <w:rsid w:val="EEFE30A8"/>
    <w:rsid w:val="EFDE5B0D"/>
    <w:rsid w:val="EFFEB5E6"/>
    <w:rsid w:val="F2EB126B"/>
    <w:rsid w:val="F3EBA3BA"/>
    <w:rsid w:val="F4F2E37C"/>
    <w:rsid w:val="F6AB0567"/>
    <w:rsid w:val="F6BF5175"/>
    <w:rsid w:val="F6E8A1CF"/>
    <w:rsid w:val="F6F7C1F8"/>
    <w:rsid w:val="F73723CA"/>
    <w:rsid w:val="F777AC19"/>
    <w:rsid w:val="F77D30DE"/>
    <w:rsid w:val="F7E37228"/>
    <w:rsid w:val="F7EC7946"/>
    <w:rsid w:val="F7FB7CAA"/>
    <w:rsid w:val="F7FF4F47"/>
    <w:rsid w:val="F8F5EC95"/>
    <w:rsid w:val="F9EE7771"/>
    <w:rsid w:val="FAFA3D47"/>
    <w:rsid w:val="FBF09410"/>
    <w:rsid w:val="FD9BB952"/>
    <w:rsid w:val="FE7F55DE"/>
    <w:rsid w:val="FEEF1F4B"/>
    <w:rsid w:val="FEFF9986"/>
    <w:rsid w:val="FF7D3E2C"/>
    <w:rsid w:val="FF7E3BDB"/>
    <w:rsid w:val="FF9B8897"/>
    <w:rsid w:val="FFA203D3"/>
    <w:rsid w:val="FFADCF9D"/>
    <w:rsid w:val="FFDE6311"/>
    <w:rsid w:val="FFEE335E"/>
    <w:rsid w:val="FFFC5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link w:val="14"/>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TOC1"/>
    <w:basedOn w:val="1"/>
    <w:next w:val="1"/>
    <w:qFormat/>
    <w:uiPriority w:val="0"/>
    <w:pPr>
      <w:widowControl/>
      <w:spacing w:line="273" w:lineRule="auto"/>
      <w:jc w:val="left"/>
      <w:textAlignment w:val="baseline"/>
    </w:pPr>
    <w:rPr>
      <w:rFonts w:ascii="Calibri" w:hAnsi="Calibri" w:eastAsia="宋体"/>
      <w:kern w:val="0"/>
      <w:sz w:val="22"/>
      <w:szCs w:val="22"/>
      <w:lang w:val="en-US" w:eastAsia="zh-CN" w:bidi="ar-SA"/>
    </w:rPr>
  </w:style>
  <w:style w:type="paragraph" w:styleId="4">
    <w:name w:val="Body Text"/>
    <w:basedOn w:val="1"/>
    <w:next w:val="1"/>
    <w:unhideWhenUsed/>
    <w:qFormat/>
    <w:uiPriority w:val="99"/>
    <w:pPr>
      <w:spacing w:before="100" w:beforeAutospacing="1" w:after="120"/>
    </w:pPr>
  </w:style>
  <w:style w:type="paragraph" w:styleId="5">
    <w:name w:val="Balloon Text"/>
    <w:basedOn w:val="1"/>
    <w:link w:val="25"/>
    <w:semiHidden/>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9"/>
    <w:qFormat/>
    <w:uiPriority w:val="0"/>
    <w:pPr>
      <w:spacing w:line="420" w:lineRule="auto"/>
      <w:ind w:left="-71" w:leftChars="-34" w:firstLine="643" w:firstLineChars="200"/>
    </w:pPr>
    <w:rPr>
      <w:rFonts w:ascii="黑体" w:hAnsi="宋体" w:eastAsia="黑体"/>
      <w:b/>
      <w:sz w:val="32"/>
    </w:rPr>
  </w:style>
  <w:style w:type="paragraph" w:styleId="9">
    <w:name w:val="toc 2"/>
    <w:basedOn w:val="1"/>
    <w:next w:val="1"/>
    <w:qFormat/>
    <w:uiPriority w:val="39"/>
    <w:pPr>
      <w:tabs>
        <w:tab w:val="right" w:leader="dot" w:pos="8834"/>
      </w:tabs>
    </w:pPr>
    <w:rPr>
      <w:rFonts w:ascii="Times New Roman" w:hAnsi="Times New Roman" w:eastAsia="宋体"/>
      <w:szCs w:val="24"/>
    </w:rPr>
  </w:style>
  <w:style w:type="paragraph" w:styleId="10">
    <w:name w:val="Normal (Web)"/>
    <w:basedOn w:val="1"/>
    <w:qFormat/>
    <w:uiPriority w:val="0"/>
    <w:pPr>
      <w:spacing w:before="0" w:beforeAutospacing="0" w:after="0" w:afterAutospacing="0"/>
      <w:ind w:left="0" w:right="0"/>
      <w:jc w:val="left"/>
    </w:pPr>
    <w:rPr>
      <w:kern w:val="0"/>
      <w:sz w:val="24"/>
      <w:lang w:val="en-US" w:eastAsia="zh-CN" w:bidi="ar"/>
    </w:rPr>
  </w:style>
  <w:style w:type="paragraph" w:styleId="11">
    <w:name w:val="Body Text First Indent 2"/>
    <w:qFormat/>
    <w:uiPriority w:val="0"/>
    <w:pPr>
      <w:widowControl w:val="0"/>
      <w:spacing w:after="120" w:afterLines="0"/>
      <w:ind w:left="200" w:leftChars="200" w:firstLine="420" w:firstLineChars="200"/>
      <w:jc w:val="both"/>
    </w:pPr>
    <w:rPr>
      <w:rFonts w:ascii="Times New Roman" w:hAnsi="Calibri" w:eastAsia="宋体" w:cs="Times New Roman"/>
      <w:kern w:val="2"/>
      <w:sz w:val="21"/>
      <w:szCs w:val="24"/>
      <w:lang w:val="en-US" w:eastAsia="zh-CN" w:bidi="ar-SA"/>
    </w:rPr>
  </w:style>
  <w:style w:type="paragraph" w:customStyle="1" w:styleId="14">
    <w:name w:val=" Char"/>
    <w:basedOn w:val="1"/>
    <w:link w:val="13"/>
    <w:unhideWhenUsed/>
    <w:qFormat/>
    <w:uiPriority w:val="0"/>
    <w:pPr>
      <w:adjustRightInd w:val="0"/>
      <w:spacing w:beforeLines="0" w:afterLines="0" w:line="360" w:lineRule="auto"/>
    </w:pPr>
    <w:rPr>
      <w:rFonts w:hint="eastAsia" w:ascii="仿宋_GB2312" w:hAnsi="Times New Roman" w:eastAsia="仿宋_GB2312"/>
      <w:kern w:val="0"/>
      <w:sz w:val="24"/>
      <w:szCs w:val="24"/>
    </w:rPr>
  </w:style>
  <w:style w:type="character" w:styleId="15">
    <w:name w:val="Strong"/>
    <w:basedOn w:val="13"/>
    <w:qFormat/>
    <w:uiPriority w:val="0"/>
    <w:rPr>
      <w:b/>
    </w:rPr>
  </w:style>
  <w:style w:type="character" w:styleId="16">
    <w:name w:val="page number"/>
    <w:basedOn w:val="13"/>
    <w:unhideWhenUsed/>
    <w:qFormat/>
    <w:uiPriority w:val="0"/>
    <w:rPr>
      <w:rFonts w:hint="default"/>
      <w:sz w:val="24"/>
      <w:szCs w:val="24"/>
    </w:rPr>
  </w:style>
  <w:style w:type="character" w:styleId="17">
    <w:name w:val="Hyperlink"/>
    <w:basedOn w:val="13"/>
    <w:unhideWhenUsed/>
    <w:qFormat/>
    <w:uiPriority w:val="99"/>
    <w:rPr>
      <w:color w:val="0000FF" w:themeColor="hyperlink"/>
      <w:u w:val="single"/>
      <w14:textFill>
        <w14:solidFill>
          <w14:schemeClr w14:val="hlink"/>
        </w14:solidFill>
      </w14:textFill>
    </w:rPr>
  </w:style>
  <w:style w:type="character" w:customStyle="1" w:styleId="18">
    <w:name w:val="font11"/>
    <w:qFormat/>
    <w:uiPriority w:val="0"/>
    <w:rPr>
      <w:rFonts w:hint="eastAsia" w:ascii="仿宋_GB2312" w:eastAsia="仿宋_GB2312" w:cs="仿宋_GB2312"/>
      <w:color w:val="000000"/>
      <w:sz w:val="28"/>
      <w:szCs w:val="28"/>
      <w:u w:val="none"/>
    </w:rPr>
  </w:style>
  <w:style w:type="character" w:customStyle="1" w:styleId="19">
    <w:name w:val="正文文本缩进 3 Char"/>
    <w:basedOn w:val="13"/>
    <w:link w:val="8"/>
    <w:qFormat/>
    <w:uiPriority w:val="0"/>
    <w:rPr>
      <w:rFonts w:ascii="黑体" w:hAnsi="宋体" w:eastAsia="黑体" w:cs="Times New Roman"/>
      <w:b/>
      <w:sz w:val="32"/>
      <w:szCs w:val="24"/>
    </w:rPr>
  </w:style>
  <w:style w:type="paragraph" w:customStyle="1" w:styleId="2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21">
    <w:name w:val="List Paragraph"/>
    <w:basedOn w:val="1"/>
    <w:qFormat/>
    <w:uiPriority w:val="99"/>
    <w:pPr>
      <w:ind w:firstLine="420" w:firstLineChars="200"/>
    </w:pPr>
  </w:style>
  <w:style w:type="character" w:customStyle="1" w:styleId="22">
    <w:name w:val="页眉 Char"/>
    <w:basedOn w:val="13"/>
    <w:link w:val="7"/>
    <w:qFormat/>
    <w:uiPriority w:val="99"/>
    <w:rPr>
      <w:rFonts w:ascii="Times New Roman" w:hAnsi="Times New Roman" w:eastAsia="宋体" w:cs="Times New Roman"/>
      <w:sz w:val="18"/>
      <w:szCs w:val="18"/>
    </w:rPr>
  </w:style>
  <w:style w:type="character" w:customStyle="1" w:styleId="23">
    <w:name w:val="页脚 Char"/>
    <w:basedOn w:val="13"/>
    <w:link w:val="6"/>
    <w:qFormat/>
    <w:uiPriority w:val="99"/>
    <w:rPr>
      <w:rFonts w:ascii="Times New Roman" w:hAnsi="Times New Roman" w:eastAsia="宋体" w:cs="Times New Roman"/>
      <w:sz w:val="18"/>
      <w:szCs w:val="18"/>
    </w:rPr>
  </w:style>
  <w:style w:type="paragraph" w:customStyle="1" w:styleId="24">
    <w:name w:val="Char Char Char Char"/>
    <w:basedOn w:val="1"/>
    <w:qFormat/>
    <w:uiPriority w:val="0"/>
    <w:pPr>
      <w:adjustRightInd w:val="0"/>
      <w:spacing w:line="360" w:lineRule="auto"/>
    </w:pPr>
    <w:rPr>
      <w:rFonts w:eastAsia="方正仿宋简体"/>
      <w:sz w:val="32"/>
    </w:rPr>
  </w:style>
  <w:style w:type="character" w:customStyle="1" w:styleId="25">
    <w:name w:val="批注框文本 Char"/>
    <w:basedOn w:val="13"/>
    <w:link w:val="5"/>
    <w:semiHidden/>
    <w:qFormat/>
    <w:uiPriority w:val="99"/>
    <w:rPr>
      <w:rFonts w:ascii="Times New Roman" w:hAnsi="Times New Roman" w:eastAsia="宋体" w:cs="Times New Roman"/>
      <w:sz w:val="18"/>
      <w:szCs w:val="18"/>
    </w:rPr>
  </w:style>
  <w:style w:type="character" w:customStyle="1" w:styleId="26">
    <w:name w:val="NormalCharacter"/>
    <w:link w:val="27"/>
    <w:semiHidden/>
    <w:qFormat/>
    <w:uiPriority w:val="0"/>
    <w:rPr>
      <w:rFonts w:ascii="Times New Roman" w:hAnsi="Times New Roman" w:eastAsia="宋体"/>
      <w:kern w:val="2"/>
      <w:sz w:val="24"/>
      <w:szCs w:val="20"/>
      <w:lang w:val="en-US" w:eastAsia="zh-CN" w:bidi="ar-SA"/>
    </w:rPr>
  </w:style>
  <w:style w:type="paragraph" w:customStyle="1" w:styleId="27">
    <w:name w:val="UserStyle_2"/>
    <w:basedOn w:val="1"/>
    <w:link w:val="26"/>
    <w:qFormat/>
    <w:uiPriority w:val="0"/>
    <w:pPr>
      <w:jc w:val="both"/>
      <w:textAlignment w:val="baseline"/>
    </w:pPr>
    <w:rPr>
      <w:rFonts w:ascii="Times New Roman" w:hAnsi="Times New Roman" w:eastAsia="宋体"/>
      <w:kern w:val="2"/>
      <w:sz w:val="24"/>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950</Words>
  <Characters>5416</Characters>
  <Lines>45</Lines>
  <Paragraphs>12</Paragraphs>
  <TotalTime>145</TotalTime>
  <ScaleCrop>false</ScaleCrop>
  <LinksUpToDate>false</LinksUpToDate>
  <CharactersWithSpaces>6354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2021-02-09T23:19:00Z</dcterms:created>
  <dc:creator>杨轲</dc:creator>
  <cp:lastModifiedBy>user</cp:lastModifiedBy>
  <cp:lastPrinted>2023-03-23T18:49:00Z</cp:lastPrinted>
  <dcterms:modified xsi:type="dcterms:W3CDTF">2023-03-23T15:44:17Z</dcterms:modified>
  <dc:title>广州市司法局关于开展2022年度</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D3E5FE69A933A7E41DDF17649E3828A2</vt:lpwstr>
  </property>
</Properties>
</file>