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uto"/>
        <w:jc w:val="center"/>
        <w:rPr>
          <w:rFonts w:ascii="黑体" w:eastAsia="黑体"/>
          <w:sz w:val="56"/>
        </w:rPr>
      </w:pPr>
      <w:r>
        <w:rPr>
          <w:rFonts w:hint="eastAsia" w:ascii="黑体" w:eastAsia="黑体"/>
          <w:b/>
          <w:sz w:val="56"/>
        </w:rPr>
        <w:t>广州市司法局2017年度信息化建设项目第三方验收测评服务</w:t>
      </w:r>
      <w:bookmarkStart w:id="0" w:name="_GoBack"/>
      <w:r>
        <w:rPr>
          <w:rFonts w:hint="eastAsia" w:ascii="黑体" w:eastAsia="黑体"/>
          <w:b/>
          <w:sz w:val="56"/>
        </w:rPr>
        <w:t>合同</w:t>
      </w:r>
      <w:bookmarkEnd w:id="0"/>
    </w:p>
    <w:p>
      <w:pPr>
        <w:spacing w:line="360" w:lineRule="auto"/>
        <w:jc w:val="center"/>
        <w:rPr>
          <w:rFonts w:hint="eastAsia"/>
          <w:b/>
        </w:rPr>
      </w:pPr>
    </w:p>
    <w:p>
      <w:pPr>
        <w:spacing w:line="360" w:lineRule="auto"/>
        <w:jc w:val="center"/>
        <w:rPr>
          <w:rFonts w:hint="eastAsia"/>
          <w:b/>
        </w:rPr>
      </w:pPr>
    </w:p>
    <w:p>
      <w:pPr>
        <w:spacing w:line="360" w:lineRule="auto"/>
        <w:jc w:val="center"/>
        <w:rPr>
          <w:b/>
        </w:rPr>
      </w:pPr>
    </w:p>
    <w:p>
      <w:pPr>
        <w:spacing w:line="360" w:lineRule="auto"/>
        <w:jc w:val="center"/>
        <w:rPr>
          <w:b/>
        </w:rPr>
      </w:pPr>
    </w:p>
    <w:p>
      <w:pPr>
        <w:spacing w:line="360" w:lineRule="auto"/>
        <w:jc w:val="center"/>
        <w:rPr>
          <w:rFonts w:hint="eastAsia" w:ascii="黑体" w:eastAsia="黑体"/>
          <w:b/>
          <w:spacing w:val="72"/>
          <w:sz w:val="32"/>
        </w:rPr>
      </w:pPr>
    </w:p>
    <w:p>
      <w:pPr>
        <w:tabs>
          <w:tab w:val="left" w:pos="3420"/>
        </w:tabs>
        <w:spacing w:line="360" w:lineRule="auto"/>
        <w:rPr>
          <w:rFonts w:hint="eastAsia" w:ascii="黑体" w:eastAsia="黑体"/>
          <w:b/>
          <w:spacing w:val="72"/>
          <w:sz w:val="32"/>
        </w:rPr>
      </w:pPr>
    </w:p>
    <w:p>
      <w:pPr>
        <w:tabs>
          <w:tab w:val="left" w:pos="3420"/>
        </w:tabs>
        <w:spacing w:line="360" w:lineRule="auto"/>
        <w:rPr>
          <w:rFonts w:hint="eastAsia" w:ascii="黑体" w:eastAsia="黑体"/>
          <w:b/>
          <w:spacing w:val="72"/>
          <w:sz w:val="32"/>
        </w:rPr>
      </w:pPr>
    </w:p>
    <w:p>
      <w:pPr>
        <w:tabs>
          <w:tab w:val="left" w:pos="3420"/>
        </w:tabs>
        <w:spacing w:line="360" w:lineRule="auto"/>
        <w:rPr>
          <w:rFonts w:hint="eastAsia"/>
          <w:b/>
          <w:sz w:val="32"/>
          <w:u w:val="single"/>
        </w:rPr>
      </w:pPr>
      <w:r>
        <w:rPr>
          <w:rFonts w:hint="eastAsia" w:ascii="黑体" w:eastAsia="黑体"/>
          <w:b/>
          <w:spacing w:val="72"/>
          <w:sz w:val="32"/>
        </w:rPr>
        <w:t>委托方（甲方）</w:t>
      </w:r>
      <w:r>
        <w:rPr>
          <w:rFonts w:hint="eastAsia"/>
          <w:b/>
          <w:sz w:val="32"/>
        </w:rPr>
        <w:t>：</w:t>
      </w:r>
      <w:r>
        <w:rPr>
          <w:rFonts w:hint="eastAsia"/>
          <w:b/>
          <w:sz w:val="32"/>
          <w:u w:val="single"/>
        </w:rPr>
        <w:t xml:space="preserve"> </w:t>
      </w:r>
      <w:r>
        <w:rPr>
          <w:b/>
          <w:sz w:val="32"/>
          <w:u w:val="single"/>
        </w:rPr>
        <w:t xml:space="preserve">       </w:t>
      </w:r>
      <w:r>
        <w:rPr>
          <w:rFonts w:hint="eastAsia"/>
          <w:sz w:val="32"/>
          <w:u w:val="single"/>
        </w:rPr>
        <w:t xml:space="preserve">广州市司法局 </w:t>
      </w:r>
      <w:r>
        <w:rPr>
          <w:sz w:val="32"/>
          <w:u w:val="single"/>
        </w:rPr>
        <w:t xml:space="preserve">       </w:t>
      </w:r>
    </w:p>
    <w:p>
      <w:pPr>
        <w:spacing w:line="360" w:lineRule="auto"/>
        <w:rPr>
          <w:rFonts w:hint="eastAsia" w:ascii="黑体" w:eastAsia="黑体"/>
          <w:b/>
          <w:spacing w:val="72"/>
          <w:sz w:val="32"/>
        </w:rPr>
      </w:pPr>
    </w:p>
    <w:p>
      <w:pPr>
        <w:tabs>
          <w:tab w:val="left" w:pos="3420"/>
        </w:tabs>
        <w:spacing w:line="360" w:lineRule="auto"/>
        <w:rPr>
          <w:rFonts w:hint="default" w:eastAsia="黑体"/>
          <w:sz w:val="32"/>
          <w:lang w:val="en-US" w:eastAsia="zh-CN"/>
        </w:rPr>
      </w:pPr>
      <w:r>
        <w:rPr>
          <w:rFonts w:hint="eastAsia" w:ascii="黑体" w:eastAsia="黑体"/>
          <w:b/>
          <w:spacing w:val="72"/>
          <w:sz w:val="32"/>
        </w:rPr>
        <w:t>受托方（乙方）：</w:t>
      </w:r>
      <w:r>
        <w:rPr>
          <w:rFonts w:hint="eastAsia" w:ascii="黑体" w:eastAsia="黑体"/>
          <w:b/>
          <w:spacing w:val="72"/>
          <w:sz w:val="32"/>
          <w:lang w:val="en-US" w:eastAsia="zh-CN"/>
        </w:rPr>
        <w:t>×××</w:t>
      </w:r>
    </w:p>
    <w:p>
      <w:pPr>
        <w:spacing w:line="360" w:lineRule="auto"/>
        <w:rPr>
          <w:rFonts w:hint="eastAsia"/>
          <w:b/>
          <w:sz w:val="24"/>
        </w:rPr>
      </w:pPr>
    </w:p>
    <w:p>
      <w:pPr>
        <w:spacing w:line="360" w:lineRule="auto"/>
        <w:ind w:left="1440"/>
        <w:rPr>
          <w:rFonts w:hint="eastAsia"/>
          <w:b/>
          <w:sz w:val="24"/>
        </w:rPr>
      </w:pPr>
    </w:p>
    <w:p>
      <w:pPr>
        <w:spacing w:line="360" w:lineRule="auto"/>
        <w:rPr>
          <w:rFonts w:hint="eastAsia"/>
          <w:sz w:val="32"/>
          <w:szCs w:val="32"/>
          <w:u w:val="single"/>
        </w:rPr>
      </w:pPr>
      <w:r>
        <w:rPr>
          <w:rFonts w:hint="eastAsia" w:ascii="黑体" w:eastAsia="黑体"/>
          <w:b/>
          <w:sz w:val="31"/>
        </w:rPr>
        <w:t>签订地点</w:t>
      </w:r>
      <w:r>
        <w:rPr>
          <w:rFonts w:ascii="黑体" w:eastAsia="黑体"/>
          <w:b/>
          <w:sz w:val="31"/>
        </w:rPr>
        <w:t>:</w:t>
      </w:r>
      <w:r>
        <w:rPr>
          <w:rFonts w:hint="eastAsia" w:ascii="黑体" w:eastAsia="黑体"/>
          <w:b/>
          <w:sz w:val="31"/>
        </w:rPr>
        <w:t xml:space="preserve"> </w:t>
      </w:r>
      <w:r>
        <w:rPr>
          <w:rFonts w:hint="eastAsia"/>
          <w:sz w:val="32"/>
          <w:szCs w:val="32"/>
          <w:u w:val="single"/>
        </w:rPr>
        <w:t>广州市</w:t>
      </w:r>
    </w:p>
    <w:p>
      <w:pPr>
        <w:spacing w:line="360" w:lineRule="auto"/>
        <w:rPr>
          <w:b/>
          <w:sz w:val="24"/>
        </w:rPr>
        <w:sectPr>
          <w:pgSz w:w="11907" w:h="16840"/>
          <w:pgMar w:top="1440" w:right="1797" w:bottom="1440" w:left="1797" w:header="720" w:footer="720" w:gutter="0"/>
          <w:cols w:space="720" w:num="1"/>
        </w:sectPr>
      </w:pPr>
    </w:p>
    <w:p>
      <w:pPr>
        <w:spacing w:line="360" w:lineRule="auto"/>
        <w:ind w:firstLine="480" w:firstLineChars="200"/>
        <w:rPr>
          <w:rFonts w:hint="eastAsia" w:ascii="宋体" w:hAnsi="宋体"/>
          <w:sz w:val="24"/>
        </w:rPr>
      </w:pPr>
      <w:r>
        <w:rPr>
          <w:rFonts w:hint="eastAsia"/>
          <w:sz w:val="24"/>
        </w:rPr>
        <w:t>受</w:t>
      </w:r>
      <w:r>
        <w:rPr>
          <w:rFonts w:hint="eastAsia"/>
          <w:sz w:val="24"/>
          <w:u w:val="single"/>
        </w:rPr>
        <w:t xml:space="preserve"> 广州市司法局</w:t>
      </w:r>
      <w:r>
        <w:rPr>
          <w:sz w:val="24"/>
          <w:u w:val="single"/>
        </w:rPr>
        <w:t xml:space="preserve"> </w:t>
      </w:r>
      <w:r>
        <w:rPr>
          <w:rFonts w:hint="eastAsia"/>
          <w:sz w:val="24"/>
        </w:rPr>
        <w:t>（甲方）的委托，</w:t>
      </w:r>
      <w:r>
        <w:rPr>
          <w:rFonts w:hint="eastAsia"/>
          <w:sz w:val="24"/>
          <w:lang w:val="en-US" w:eastAsia="zh-CN"/>
        </w:rPr>
        <w:t>×××</w:t>
      </w:r>
      <w:r>
        <w:rPr>
          <w:rFonts w:hint="eastAsia"/>
          <w:sz w:val="24"/>
        </w:rPr>
        <w:t>（乙方）承接广州市司法局2017年度信息化建设项目第三方验收测评服务工作。为明确双方的权利和义务，依据</w:t>
      </w:r>
      <w:r>
        <w:rPr>
          <w:rFonts w:hint="eastAsia" w:ascii="宋体" w:hAnsi="宋体"/>
          <w:sz w:val="24"/>
        </w:rPr>
        <w:t>《中华人民共和国合同法》有关规定，</w:t>
      </w:r>
      <w:r>
        <w:rPr>
          <w:rFonts w:hint="eastAsia"/>
          <w:sz w:val="24"/>
        </w:rPr>
        <w:t>双方在平等自愿的基础上</w:t>
      </w:r>
      <w:r>
        <w:rPr>
          <w:rFonts w:hint="eastAsia" w:ascii="宋体" w:hAnsi="宋体"/>
          <w:sz w:val="24"/>
        </w:rPr>
        <w:t>签订本合同。</w:t>
      </w:r>
    </w:p>
    <w:p>
      <w:pPr>
        <w:spacing w:line="360" w:lineRule="auto"/>
        <w:ind w:firstLine="480" w:firstLineChars="200"/>
        <w:rPr>
          <w:rFonts w:hint="eastAsia"/>
          <w:sz w:val="24"/>
        </w:rPr>
      </w:pPr>
    </w:p>
    <w:p>
      <w:pPr>
        <w:spacing w:line="360" w:lineRule="auto"/>
        <w:outlineLvl w:val="0"/>
        <w:rPr>
          <w:b/>
          <w:sz w:val="24"/>
        </w:rPr>
      </w:pPr>
      <w:r>
        <w:rPr>
          <w:rFonts w:hint="eastAsia"/>
          <w:b/>
          <w:sz w:val="24"/>
        </w:rPr>
        <w:t>一、任务表述</w:t>
      </w:r>
    </w:p>
    <w:p>
      <w:pPr>
        <w:pStyle w:val="2"/>
        <w:spacing w:line="360" w:lineRule="auto"/>
        <w:ind w:left="59" w:leftChars="28" w:firstLine="480" w:firstLineChars="200"/>
      </w:pPr>
      <w:r>
        <w:rPr>
          <w:rFonts w:hint="eastAsia"/>
        </w:rPr>
        <w:t>乙方按照国家测试标准和测试规范，完成甲方委托的</w:t>
      </w:r>
      <w:r>
        <w:rPr>
          <w:rFonts w:hint="eastAsia"/>
          <w:sz w:val="24"/>
        </w:rPr>
        <w:t>广州市司法局2017年度信息化建设项目第三方验收测评</w:t>
      </w:r>
      <w:r>
        <w:rPr>
          <w:rFonts w:hint="eastAsia"/>
        </w:rPr>
        <w:t>服务工作，出具相应的测试报告，具体项目测评内容如下：</w:t>
      </w:r>
    </w:p>
    <w:tbl>
      <w:tblPr>
        <w:tblStyle w:val="3"/>
        <w:tblW w:w="4795" w:type="pct"/>
        <w:jc w:val="center"/>
        <w:tblLayout w:type="autofit"/>
        <w:tblCellMar>
          <w:top w:w="0" w:type="dxa"/>
          <w:left w:w="108" w:type="dxa"/>
          <w:bottom w:w="0" w:type="dxa"/>
          <w:right w:w="108" w:type="dxa"/>
        </w:tblCellMar>
      </w:tblPr>
      <w:tblGrid>
        <w:gridCol w:w="527"/>
        <w:gridCol w:w="2267"/>
        <w:gridCol w:w="5384"/>
      </w:tblGrid>
      <w:tr>
        <w:tblPrEx>
          <w:tblCellMar>
            <w:top w:w="0" w:type="dxa"/>
            <w:left w:w="108" w:type="dxa"/>
            <w:bottom w:w="0" w:type="dxa"/>
            <w:right w:w="108" w:type="dxa"/>
          </w:tblCellMar>
        </w:tblPrEx>
        <w:trPr>
          <w:trHeight w:val="270" w:hRule="atLeast"/>
          <w:tblHeader/>
          <w:jc w:val="center"/>
        </w:trPr>
        <w:tc>
          <w:tcPr>
            <w:tcW w:w="322"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序号</w:t>
            </w:r>
            <w:r>
              <w:rPr>
                <w:rFonts w:ascii="宋体" w:hAnsi="宋体" w:cs="宋体"/>
                <w:b/>
                <w:bCs/>
                <w:color w:val="000000"/>
                <w:kern w:val="0"/>
                <w:sz w:val="22"/>
              </w:rPr>
              <w:t xml:space="preserve"> </w:t>
            </w:r>
          </w:p>
        </w:tc>
        <w:tc>
          <w:tcPr>
            <w:tcW w:w="1386" w:type="pct"/>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建设内容</w:t>
            </w:r>
          </w:p>
        </w:tc>
        <w:tc>
          <w:tcPr>
            <w:tcW w:w="3292" w:type="pct"/>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描述</w:t>
            </w:r>
          </w:p>
        </w:tc>
      </w:tr>
      <w:tr>
        <w:tblPrEx>
          <w:tblCellMar>
            <w:top w:w="0" w:type="dxa"/>
            <w:left w:w="108" w:type="dxa"/>
            <w:bottom w:w="0" w:type="dxa"/>
            <w:right w:w="108" w:type="dxa"/>
          </w:tblCellMar>
        </w:tblPrEx>
        <w:trPr>
          <w:trHeight w:val="1016" w:hRule="atLeast"/>
          <w:jc w:val="center"/>
        </w:trPr>
        <w:tc>
          <w:tcPr>
            <w:tcW w:w="322"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bCs/>
                <w:color w:val="000000"/>
                <w:kern w:val="0"/>
                <w:szCs w:val="21"/>
              </w:rPr>
            </w:pPr>
            <w:r>
              <w:rPr>
                <w:rFonts w:ascii="宋体" w:hAnsi="宋体" w:cs="宋体"/>
                <w:bCs/>
                <w:color w:val="000000"/>
                <w:kern w:val="0"/>
                <w:szCs w:val="21"/>
              </w:rPr>
              <w:t>1</w:t>
            </w:r>
          </w:p>
        </w:tc>
        <w:tc>
          <w:tcPr>
            <w:tcW w:w="1386"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市法律援助信息管理系统二期建设</w:t>
            </w:r>
          </w:p>
        </w:tc>
        <w:tc>
          <w:tcPr>
            <w:tcW w:w="329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bCs/>
                <w:color w:val="000000"/>
                <w:kern w:val="0"/>
                <w:szCs w:val="21"/>
              </w:rPr>
            </w:pPr>
            <w:r>
              <w:rPr>
                <w:rFonts w:hint="eastAsia" w:ascii="宋体" w:hAnsi="宋体" w:cs="宋体"/>
                <w:bCs/>
                <w:color w:val="000000"/>
                <w:kern w:val="0"/>
                <w:szCs w:val="21"/>
              </w:rPr>
              <w:t>包括律师库管理中心、法律援助业务管理、日常办公管理、移动应用服务平台、案件质量监控中心、完善广州市法律援助大厅功能，以及信息系统接口开发等。</w:t>
            </w:r>
          </w:p>
        </w:tc>
      </w:tr>
      <w:tr>
        <w:tblPrEx>
          <w:tblCellMar>
            <w:top w:w="0" w:type="dxa"/>
            <w:left w:w="108" w:type="dxa"/>
            <w:bottom w:w="0" w:type="dxa"/>
            <w:right w:w="108" w:type="dxa"/>
          </w:tblCellMar>
        </w:tblPrEx>
        <w:trPr>
          <w:trHeight w:val="558" w:hRule="atLeast"/>
          <w:jc w:val="center"/>
        </w:trPr>
        <w:tc>
          <w:tcPr>
            <w:tcW w:w="322"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bCs/>
                <w:color w:val="000000"/>
                <w:kern w:val="0"/>
                <w:szCs w:val="21"/>
              </w:rPr>
            </w:pPr>
            <w:r>
              <w:rPr>
                <w:rFonts w:ascii="宋体" w:hAnsi="宋体" w:cs="宋体"/>
                <w:bCs/>
                <w:color w:val="000000"/>
                <w:kern w:val="0"/>
                <w:szCs w:val="21"/>
              </w:rPr>
              <w:t>2</w:t>
            </w:r>
          </w:p>
        </w:tc>
        <w:tc>
          <w:tcPr>
            <w:tcW w:w="1386"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市信息化公共资源接口建设</w:t>
            </w:r>
          </w:p>
        </w:tc>
        <w:tc>
          <w:tcPr>
            <w:tcW w:w="329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bCs/>
                <w:color w:val="000000"/>
                <w:kern w:val="0"/>
                <w:szCs w:val="21"/>
              </w:rPr>
            </w:pPr>
            <w:r>
              <w:rPr>
                <w:rFonts w:hint="eastAsia" w:ascii="宋体" w:hAnsi="宋体" w:cs="宋体"/>
                <w:bCs/>
                <w:color w:val="000000"/>
                <w:kern w:val="0"/>
                <w:szCs w:val="21"/>
              </w:rPr>
              <w:t>1、接口开发：包括与电子文档资源管理中心系统、市电子公文交换系统、市电子公章系统、市政务督查督办信息管理系统、市政务通统一通讯及业务资源管理平台、市政府信息共享平台、市社会保障（市民）卡管理系统、市电子认证公共服务平台等接口的开发。</w:t>
            </w:r>
          </w:p>
          <w:p>
            <w:pPr>
              <w:widowControl/>
              <w:jc w:val="left"/>
              <w:rPr>
                <w:rFonts w:ascii="宋体" w:hAnsi="宋体" w:cs="宋体"/>
                <w:bCs/>
                <w:color w:val="000000"/>
                <w:kern w:val="0"/>
                <w:szCs w:val="21"/>
              </w:rPr>
            </w:pPr>
            <w:r>
              <w:rPr>
                <w:rFonts w:hint="eastAsia" w:ascii="宋体" w:hAnsi="宋体" w:cs="宋体"/>
                <w:bCs/>
                <w:color w:val="000000"/>
                <w:kern w:val="0"/>
                <w:szCs w:val="21"/>
              </w:rPr>
              <w:t>2、整体复用：包括对市电子公文交换系统、市政务通统一通讯及业务资源管理平台的整体复用。</w:t>
            </w:r>
          </w:p>
          <w:p>
            <w:pPr>
              <w:widowControl/>
              <w:jc w:val="left"/>
              <w:rPr>
                <w:rFonts w:ascii="宋体" w:hAnsi="宋体" w:cs="宋体"/>
                <w:bCs/>
                <w:color w:val="000000"/>
                <w:kern w:val="0"/>
                <w:szCs w:val="21"/>
              </w:rPr>
            </w:pPr>
            <w:r>
              <w:rPr>
                <w:rFonts w:hint="eastAsia" w:ascii="宋体" w:hAnsi="宋体" w:cs="宋体"/>
                <w:bCs/>
                <w:color w:val="000000"/>
                <w:kern w:val="0"/>
                <w:szCs w:val="21"/>
              </w:rPr>
              <w:t>3、系统建设与接口开发：包括市司法局电子证照系统与接口建设、市司法局信用信息系统及接口建设。</w:t>
            </w:r>
          </w:p>
        </w:tc>
      </w:tr>
      <w:tr>
        <w:tblPrEx>
          <w:tblCellMar>
            <w:top w:w="0" w:type="dxa"/>
            <w:left w:w="108" w:type="dxa"/>
            <w:bottom w:w="0" w:type="dxa"/>
            <w:right w:w="108" w:type="dxa"/>
          </w:tblCellMar>
        </w:tblPrEx>
        <w:trPr>
          <w:trHeight w:val="509" w:hRule="atLeast"/>
          <w:jc w:val="center"/>
        </w:trPr>
        <w:tc>
          <w:tcPr>
            <w:tcW w:w="322"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bCs/>
                <w:color w:val="000000"/>
                <w:kern w:val="0"/>
                <w:szCs w:val="21"/>
              </w:rPr>
            </w:pPr>
            <w:r>
              <w:rPr>
                <w:rFonts w:ascii="宋体" w:hAnsi="宋体" w:cs="宋体"/>
                <w:bCs/>
                <w:color w:val="000000"/>
                <w:kern w:val="0"/>
                <w:szCs w:val="21"/>
              </w:rPr>
              <w:t>3</w:t>
            </w:r>
          </w:p>
        </w:tc>
        <w:tc>
          <w:tcPr>
            <w:tcW w:w="1386"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市公共法律智能服务建设</w:t>
            </w:r>
          </w:p>
        </w:tc>
        <w:tc>
          <w:tcPr>
            <w:tcW w:w="329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bCs/>
                <w:color w:val="000000"/>
                <w:kern w:val="0"/>
                <w:szCs w:val="21"/>
              </w:rPr>
            </w:pPr>
            <w:r>
              <w:rPr>
                <w:rFonts w:hint="eastAsia" w:ascii="宋体" w:hAnsi="宋体" w:cs="宋体"/>
                <w:bCs/>
                <w:color w:val="000000"/>
                <w:kern w:val="0"/>
                <w:szCs w:val="21"/>
              </w:rPr>
              <w:t>基于市政府智能服务机器人云平台，在部分法律服务领域尝试开展市公共法律智能服务建设。包括智能机器人软件租赁、智能机器人租赁、后台管理功能、项目知识库建设、项目语音库建设以及系统对接开发等。</w:t>
            </w:r>
          </w:p>
        </w:tc>
      </w:tr>
      <w:tr>
        <w:tblPrEx>
          <w:tblCellMar>
            <w:top w:w="0" w:type="dxa"/>
            <w:left w:w="108" w:type="dxa"/>
            <w:bottom w:w="0" w:type="dxa"/>
            <w:right w:w="108" w:type="dxa"/>
          </w:tblCellMar>
        </w:tblPrEx>
        <w:trPr>
          <w:trHeight w:val="540" w:hRule="atLeast"/>
          <w:jc w:val="center"/>
        </w:trPr>
        <w:tc>
          <w:tcPr>
            <w:tcW w:w="322"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bCs/>
                <w:color w:val="000000"/>
                <w:kern w:val="0"/>
                <w:szCs w:val="21"/>
              </w:rPr>
            </w:pPr>
            <w:r>
              <w:rPr>
                <w:rFonts w:ascii="宋体" w:hAnsi="宋体" w:cs="宋体"/>
                <w:bCs/>
                <w:color w:val="000000"/>
                <w:kern w:val="0"/>
                <w:szCs w:val="21"/>
              </w:rPr>
              <w:t>4</w:t>
            </w:r>
          </w:p>
        </w:tc>
        <w:tc>
          <w:tcPr>
            <w:tcW w:w="1386"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监狱管理信息系统配套采购</w:t>
            </w:r>
          </w:p>
        </w:tc>
        <w:tc>
          <w:tcPr>
            <w:tcW w:w="329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bCs/>
                <w:color w:val="000000"/>
                <w:kern w:val="0"/>
                <w:szCs w:val="21"/>
              </w:rPr>
            </w:pPr>
            <w:r>
              <w:rPr>
                <w:rFonts w:hint="eastAsia" w:ascii="宋体" w:hAnsi="宋体" w:cs="宋体"/>
                <w:bCs/>
                <w:color w:val="000000"/>
                <w:kern w:val="0"/>
                <w:szCs w:val="21"/>
              </w:rPr>
              <w:t>包括1</w:t>
            </w:r>
            <w:r>
              <w:rPr>
                <w:rFonts w:ascii="宋体" w:hAnsi="宋体" w:cs="宋体"/>
                <w:bCs/>
                <w:color w:val="000000"/>
                <w:kern w:val="0"/>
                <w:szCs w:val="21"/>
              </w:rPr>
              <w:t>台</w:t>
            </w:r>
            <w:r>
              <w:rPr>
                <w:rFonts w:hint="eastAsia" w:ascii="宋体" w:hAnsi="宋体" w:cs="宋体"/>
                <w:bCs/>
                <w:color w:val="000000"/>
                <w:kern w:val="0"/>
                <w:szCs w:val="21"/>
              </w:rPr>
              <w:t>应用</w:t>
            </w:r>
            <w:r>
              <w:rPr>
                <w:rFonts w:ascii="宋体" w:hAnsi="宋体" w:cs="宋体"/>
                <w:bCs/>
                <w:color w:val="000000"/>
                <w:kern w:val="0"/>
                <w:szCs w:val="21"/>
              </w:rPr>
              <w:t>服务器</w:t>
            </w:r>
            <w:r>
              <w:rPr>
                <w:rFonts w:hint="eastAsia" w:ascii="宋体" w:hAnsi="宋体" w:cs="宋体"/>
                <w:bCs/>
                <w:color w:val="000000"/>
                <w:kern w:val="0"/>
                <w:szCs w:val="21"/>
              </w:rPr>
              <w:t>和1台数据库服务器</w:t>
            </w:r>
            <w:r>
              <w:rPr>
                <w:rFonts w:ascii="宋体" w:hAnsi="宋体" w:cs="宋体"/>
                <w:bCs/>
                <w:color w:val="000000"/>
                <w:kern w:val="0"/>
                <w:szCs w:val="21"/>
              </w:rPr>
              <w:t>、</w:t>
            </w:r>
            <w:r>
              <w:rPr>
                <w:rFonts w:hint="eastAsia" w:ascii="宋体" w:hAnsi="宋体" w:cs="宋体"/>
                <w:bCs/>
                <w:color w:val="000000"/>
                <w:kern w:val="0"/>
                <w:szCs w:val="21"/>
              </w:rPr>
              <w:t>1</w:t>
            </w:r>
            <w:r>
              <w:rPr>
                <w:rFonts w:ascii="宋体" w:hAnsi="宋体" w:cs="宋体"/>
                <w:bCs/>
                <w:color w:val="000000"/>
                <w:kern w:val="0"/>
                <w:szCs w:val="21"/>
              </w:rPr>
              <w:t>套存储设备和2套</w:t>
            </w:r>
            <w:r>
              <w:rPr>
                <w:rFonts w:hint="eastAsia" w:ascii="宋体" w:hAnsi="宋体" w:cs="宋体"/>
                <w:bCs/>
                <w:color w:val="000000"/>
                <w:kern w:val="0"/>
                <w:szCs w:val="21"/>
              </w:rPr>
              <w:t>操作系统软件等。</w:t>
            </w:r>
          </w:p>
        </w:tc>
      </w:tr>
      <w:tr>
        <w:tblPrEx>
          <w:tblCellMar>
            <w:top w:w="0" w:type="dxa"/>
            <w:left w:w="108" w:type="dxa"/>
            <w:bottom w:w="0" w:type="dxa"/>
            <w:right w:w="108" w:type="dxa"/>
          </w:tblCellMar>
        </w:tblPrEx>
        <w:trPr>
          <w:trHeight w:val="540" w:hRule="atLeast"/>
          <w:jc w:val="center"/>
        </w:trPr>
        <w:tc>
          <w:tcPr>
            <w:tcW w:w="322"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bCs/>
                <w:color w:val="000000"/>
                <w:kern w:val="0"/>
                <w:szCs w:val="21"/>
              </w:rPr>
            </w:pPr>
            <w:r>
              <w:rPr>
                <w:rFonts w:ascii="宋体" w:hAnsi="宋体" w:cs="宋体"/>
                <w:bCs/>
                <w:color w:val="000000"/>
                <w:kern w:val="0"/>
                <w:szCs w:val="21"/>
              </w:rPr>
              <w:t>5</w:t>
            </w:r>
          </w:p>
        </w:tc>
        <w:tc>
          <w:tcPr>
            <w:tcW w:w="1386"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司法鉴定在线培训系统建设</w:t>
            </w:r>
          </w:p>
        </w:tc>
        <w:tc>
          <w:tcPr>
            <w:tcW w:w="329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bCs/>
                <w:color w:val="000000"/>
                <w:kern w:val="0"/>
                <w:szCs w:val="21"/>
              </w:rPr>
            </w:pPr>
            <w:r>
              <w:rPr>
                <w:rFonts w:hint="eastAsia" w:ascii="宋体" w:hAnsi="宋体" w:cs="宋体"/>
                <w:bCs/>
                <w:color w:val="000000"/>
                <w:kern w:val="0"/>
                <w:szCs w:val="21"/>
              </w:rPr>
              <w:t>包括培训服务系统和培训管理系统的建设。其中，培训服务系统包括培训公告、岗位培训报名、继续教育、在线考核以及我的学分等功能；培训管理系统包括培训公告管理、岗位培训管理、继续教育培训管理、在线考核管理以及系统管理等功能。</w:t>
            </w:r>
          </w:p>
        </w:tc>
      </w:tr>
      <w:tr>
        <w:tblPrEx>
          <w:tblCellMar>
            <w:top w:w="0" w:type="dxa"/>
            <w:left w:w="108" w:type="dxa"/>
            <w:bottom w:w="0" w:type="dxa"/>
            <w:right w:w="108" w:type="dxa"/>
          </w:tblCellMar>
        </w:tblPrEx>
        <w:trPr>
          <w:trHeight w:val="680" w:hRule="atLeast"/>
          <w:jc w:val="center"/>
        </w:trPr>
        <w:tc>
          <w:tcPr>
            <w:tcW w:w="322"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bCs/>
                <w:color w:val="000000"/>
                <w:kern w:val="0"/>
                <w:szCs w:val="21"/>
              </w:rPr>
            </w:pPr>
            <w:r>
              <w:rPr>
                <w:rFonts w:ascii="宋体" w:hAnsi="宋体" w:cs="宋体"/>
                <w:bCs/>
                <w:color w:val="000000"/>
                <w:kern w:val="0"/>
                <w:szCs w:val="21"/>
              </w:rPr>
              <w:t>6</w:t>
            </w:r>
          </w:p>
        </w:tc>
        <w:tc>
          <w:tcPr>
            <w:tcW w:w="1386"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禁毒馆教育馆展馆多媒体互动展示系统建设</w:t>
            </w:r>
          </w:p>
        </w:tc>
        <w:tc>
          <w:tcPr>
            <w:tcW w:w="3292" w:type="pct"/>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bCs/>
                <w:color w:val="000000"/>
                <w:kern w:val="0"/>
                <w:szCs w:val="21"/>
              </w:rPr>
            </w:pPr>
            <w:r>
              <w:rPr>
                <w:rFonts w:hint="eastAsia" w:ascii="宋体" w:hAnsi="宋体" w:cs="宋体"/>
                <w:bCs/>
                <w:color w:val="000000"/>
                <w:kern w:val="0"/>
                <w:szCs w:val="21"/>
              </w:rPr>
              <w:t>包括以下几个展示系统的建设：</w:t>
            </w:r>
          </w:p>
          <w:p>
            <w:pPr>
              <w:widowControl/>
              <w:jc w:val="left"/>
              <w:rPr>
                <w:rFonts w:ascii="宋体" w:hAnsi="宋体" w:cs="宋体"/>
                <w:b/>
                <w:bCs/>
                <w:color w:val="000000"/>
                <w:kern w:val="0"/>
                <w:szCs w:val="21"/>
              </w:rPr>
            </w:pPr>
            <w:r>
              <w:rPr>
                <w:rFonts w:ascii="宋体" w:hAnsi="宋体" w:cs="宋体"/>
                <w:b/>
                <w:bCs/>
                <w:color w:val="000000"/>
                <w:kern w:val="0"/>
                <w:szCs w:val="21"/>
              </w:rPr>
              <w:t>1、</w:t>
            </w:r>
            <w:r>
              <w:rPr>
                <w:rFonts w:hint="eastAsia" w:ascii="宋体" w:hAnsi="宋体" w:cs="宋体"/>
                <w:b/>
                <w:bCs/>
                <w:color w:val="000000"/>
                <w:kern w:val="0"/>
                <w:szCs w:val="21"/>
              </w:rPr>
              <w:t>全球毒情互动展示系统：</w:t>
            </w:r>
          </w:p>
          <w:p>
            <w:pPr>
              <w:widowControl/>
              <w:jc w:val="left"/>
              <w:rPr>
                <w:rFonts w:ascii="宋体" w:hAnsi="宋体" w:cs="宋体"/>
                <w:bCs/>
                <w:color w:val="000000"/>
                <w:kern w:val="0"/>
                <w:szCs w:val="21"/>
              </w:rPr>
            </w:pPr>
            <w:r>
              <w:rPr>
                <w:rFonts w:hint="eastAsia" w:ascii="宋体" w:hAnsi="宋体" w:cs="宋体"/>
                <w:bCs/>
                <w:color w:val="000000"/>
                <w:kern w:val="0"/>
                <w:szCs w:val="21"/>
              </w:rPr>
              <w:t>展示系统介绍：</w:t>
            </w:r>
          </w:p>
          <w:p>
            <w:pPr>
              <w:widowControl/>
              <w:jc w:val="left"/>
              <w:rPr>
                <w:rFonts w:ascii="宋体" w:hAnsi="宋体" w:cs="宋体"/>
                <w:bCs/>
                <w:color w:val="000000"/>
                <w:kern w:val="0"/>
                <w:szCs w:val="21"/>
              </w:rPr>
            </w:pPr>
            <w:r>
              <w:rPr>
                <w:rFonts w:hint="eastAsia" w:ascii="宋体" w:hAnsi="宋体" w:cs="宋体"/>
                <w:bCs/>
                <w:color w:val="000000"/>
                <w:kern w:val="0"/>
                <w:szCs w:val="21"/>
              </w:rPr>
              <w:t>通过建设两台投影仪拼接投影画面并利用摄像头动作捕捉技术，形成一个关于全球制毒、贩毒、吸毒、禁毒情况介绍的互动数据查询平台。</w:t>
            </w:r>
          </w:p>
          <w:p>
            <w:pPr>
              <w:widowControl/>
              <w:jc w:val="left"/>
              <w:rPr>
                <w:rFonts w:ascii="宋体" w:hAnsi="宋体" w:cs="宋体"/>
                <w:bCs/>
                <w:color w:val="000000"/>
                <w:kern w:val="0"/>
                <w:szCs w:val="21"/>
              </w:rPr>
            </w:pPr>
            <w:r>
              <w:rPr>
                <w:rFonts w:hint="eastAsia" w:ascii="宋体" w:hAnsi="宋体" w:cs="宋体"/>
                <w:bCs/>
                <w:color w:val="000000"/>
                <w:kern w:val="0"/>
                <w:szCs w:val="21"/>
              </w:rPr>
              <w:t>主要设备：</w:t>
            </w:r>
          </w:p>
          <w:p>
            <w:pPr>
              <w:widowControl/>
              <w:jc w:val="left"/>
              <w:rPr>
                <w:rFonts w:ascii="宋体" w:hAnsi="宋体" w:cs="宋体"/>
                <w:bCs/>
                <w:color w:val="000000"/>
                <w:kern w:val="0"/>
                <w:szCs w:val="21"/>
              </w:rPr>
            </w:pPr>
            <w:r>
              <w:rPr>
                <w:rFonts w:hint="eastAsia" w:ascii="宋体" w:hAnsi="宋体" w:cs="宋体"/>
                <w:bCs/>
                <w:color w:val="000000"/>
                <w:kern w:val="0"/>
                <w:szCs w:val="21"/>
              </w:rPr>
              <w:t>主要包括投影机、背投屏幕、工控机、平板、融合软件、动作识别、交互软件、多媒体影片等。</w:t>
            </w:r>
          </w:p>
          <w:p>
            <w:pPr>
              <w:widowControl/>
              <w:jc w:val="left"/>
              <w:rPr>
                <w:rFonts w:ascii="宋体" w:hAnsi="宋体" w:cs="宋体"/>
                <w:b/>
                <w:bCs/>
                <w:color w:val="000000"/>
                <w:kern w:val="0"/>
                <w:szCs w:val="21"/>
              </w:rPr>
            </w:pPr>
            <w:r>
              <w:rPr>
                <w:rFonts w:ascii="宋体" w:hAnsi="宋体" w:cs="宋体"/>
                <w:b/>
                <w:bCs/>
                <w:color w:val="000000"/>
                <w:kern w:val="0"/>
                <w:szCs w:val="21"/>
              </w:rPr>
              <w:t>2、</w:t>
            </w:r>
            <w:r>
              <w:rPr>
                <w:rFonts w:hint="eastAsia" w:ascii="宋体" w:hAnsi="宋体" w:cs="宋体"/>
                <w:b/>
                <w:bCs/>
                <w:color w:val="000000"/>
                <w:kern w:val="0"/>
                <w:szCs w:val="21"/>
              </w:rPr>
              <w:t>生命的侵害互动展示系统：</w:t>
            </w:r>
          </w:p>
          <w:p>
            <w:pPr>
              <w:widowControl/>
              <w:jc w:val="left"/>
              <w:rPr>
                <w:rFonts w:ascii="宋体" w:hAnsi="宋体" w:cs="宋体"/>
                <w:bCs/>
                <w:color w:val="000000"/>
                <w:kern w:val="0"/>
                <w:szCs w:val="21"/>
              </w:rPr>
            </w:pPr>
            <w:r>
              <w:rPr>
                <w:rFonts w:hint="eastAsia" w:ascii="宋体" w:hAnsi="宋体" w:cs="宋体"/>
                <w:bCs/>
                <w:color w:val="000000"/>
                <w:kern w:val="0"/>
                <w:szCs w:val="21"/>
              </w:rPr>
              <w:t>展示系统介绍：</w:t>
            </w:r>
          </w:p>
          <w:p>
            <w:pPr>
              <w:widowControl/>
              <w:jc w:val="left"/>
              <w:rPr>
                <w:rFonts w:ascii="宋体" w:hAnsi="宋体" w:cs="宋体"/>
                <w:bCs/>
                <w:color w:val="000000"/>
                <w:kern w:val="0"/>
                <w:szCs w:val="21"/>
              </w:rPr>
            </w:pPr>
            <w:r>
              <w:rPr>
                <w:rFonts w:hint="eastAsia" w:ascii="宋体" w:hAnsi="宋体" w:cs="宋体"/>
                <w:bCs/>
                <w:color w:val="000000"/>
                <w:kern w:val="0"/>
                <w:szCs w:val="21"/>
              </w:rPr>
              <w:t>设计一个药丸形的大型装置，其上显示一个真人大小的人体模型解剖示意图，可通过旁边的显示器和“听筒”实现吸毒后人体各部分所受伤害的讲解视频。</w:t>
            </w:r>
          </w:p>
          <w:p>
            <w:pPr>
              <w:widowControl/>
              <w:jc w:val="left"/>
              <w:rPr>
                <w:rFonts w:ascii="宋体" w:hAnsi="宋体" w:cs="宋体"/>
                <w:bCs/>
                <w:color w:val="000000"/>
                <w:kern w:val="0"/>
                <w:szCs w:val="21"/>
              </w:rPr>
            </w:pPr>
            <w:r>
              <w:rPr>
                <w:rFonts w:hint="eastAsia" w:ascii="宋体" w:hAnsi="宋体" w:cs="宋体"/>
                <w:bCs/>
                <w:color w:val="000000"/>
                <w:kern w:val="0"/>
                <w:szCs w:val="21"/>
              </w:rPr>
              <w:t>主要设备：</w:t>
            </w:r>
          </w:p>
          <w:p>
            <w:pPr>
              <w:widowControl/>
              <w:jc w:val="left"/>
              <w:rPr>
                <w:rFonts w:ascii="宋体" w:hAnsi="宋体" w:cs="宋体"/>
                <w:bCs/>
                <w:color w:val="000000"/>
                <w:kern w:val="0"/>
                <w:szCs w:val="21"/>
              </w:rPr>
            </w:pPr>
            <w:r>
              <w:rPr>
                <w:rFonts w:hint="eastAsia" w:ascii="宋体" w:hAnsi="宋体" w:cs="宋体"/>
                <w:bCs/>
                <w:color w:val="000000"/>
                <w:kern w:val="0"/>
                <w:szCs w:val="21"/>
              </w:rPr>
              <w:t>主要包括液晶显示器、工控机、半球人体造型等。</w:t>
            </w:r>
          </w:p>
          <w:p>
            <w:pPr>
              <w:widowControl/>
              <w:jc w:val="left"/>
              <w:rPr>
                <w:rFonts w:ascii="宋体" w:hAnsi="宋体" w:cs="宋体"/>
                <w:b/>
                <w:bCs/>
                <w:color w:val="000000"/>
                <w:kern w:val="0"/>
                <w:szCs w:val="21"/>
              </w:rPr>
            </w:pPr>
            <w:r>
              <w:rPr>
                <w:rFonts w:ascii="宋体" w:hAnsi="宋体" w:cs="宋体"/>
                <w:b/>
                <w:bCs/>
                <w:color w:val="000000"/>
                <w:kern w:val="0"/>
                <w:szCs w:val="21"/>
              </w:rPr>
              <w:t>3、</w:t>
            </w:r>
            <w:r>
              <w:rPr>
                <w:rFonts w:hint="eastAsia" w:ascii="宋体" w:hAnsi="宋体" w:cs="宋体"/>
                <w:b/>
                <w:bCs/>
                <w:color w:val="000000"/>
                <w:kern w:val="0"/>
                <w:szCs w:val="21"/>
              </w:rPr>
              <w:t>双面人互动展示系统：</w:t>
            </w:r>
          </w:p>
          <w:p>
            <w:pPr>
              <w:widowControl/>
              <w:jc w:val="left"/>
              <w:rPr>
                <w:rFonts w:ascii="宋体" w:hAnsi="宋体" w:cs="宋体"/>
                <w:bCs/>
                <w:color w:val="000000"/>
                <w:kern w:val="0"/>
                <w:szCs w:val="21"/>
              </w:rPr>
            </w:pPr>
            <w:r>
              <w:rPr>
                <w:rFonts w:hint="eastAsia" w:ascii="宋体" w:hAnsi="宋体" w:cs="宋体"/>
                <w:bCs/>
                <w:color w:val="000000"/>
                <w:kern w:val="0"/>
                <w:szCs w:val="21"/>
              </w:rPr>
              <w:t>展示系统介绍：</w:t>
            </w:r>
          </w:p>
          <w:p>
            <w:pPr>
              <w:widowControl/>
              <w:jc w:val="left"/>
              <w:rPr>
                <w:rFonts w:ascii="宋体" w:hAnsi="宋体" w:cs="宋体"/>
                <w:bCs/>
                <w:color w:val="000000"/>
                <w:kern w:val="0"/>
                <w:szCs w:val="21"/>
              </w:rPr>
            </w:pPr>
            <w:r>
              <w:rPr>
                <w:rFonts w:hint="eastAsia" w:ascii="宋体" w:hAnsi="宋体" w:cs="宋体"/>
                <w:bCs/>
                <w:color w:val="000000"/>
                <w:kern w:val="0"/>
                <w:szCs w:val="21"/>
              </w:rPr>
              <w:t>建设三块高约两米宽约一米的透明玻璃，玻璃屏上可显示真人般大小的各种人物形象，通过体验式的模拟情景展现毒品就在我们身边。</w:t>
            </w:r>
          </w:p>
          <w:p>
            <w:pPr>
              <w:widowControl/>
              <w:jc w:val="left"/>
              <w:rPr>
                <w:rFonts w:ascii="宋体" w:hAnsi="宋体" w:cs="宋体"/>
                <w:bCs/>
                <w:color w:val="000000"/>
                <w:kern w:val="0"/>
                <w:szCs w:val="21"/>
              </w:rPr>
            </w:pPr>
            <w:r>
              <w:rPr>
                <w:rFonts w:hint="eastAsia" w:ascii="宋体" w:hAnsi="宋体" w:cs="宋体"/>
                <w:bCs/>
                <w:color w:val="000000"/>
                <w:kern w:val="0"/>
                <w:szCs w:val="21"/>
              </w:rPr>
              <w:t>主要设备：</w:t>
            </w:r>
          </w:p>
          <w:p>
            <w:pPr>
              <w:widowControl/>
              <w:jc w:val="left"/>
              <w:rPr>
                <w:rFonts w:ascii="宋体" w:hAnsi="宋体" w:cs="宋体"/>
                <w:bCs/>
                <w:color w:val="000000"/>
                <w:kern w:val="0"/>
                <w:szCs w:val="21"/>
              </w:rPr>
            </w:pPr>
            <w:r>
              <w:rPr>
                <w:rFonts w:hint="eastAsia" w:ascii="宋体" w:hAnsi="宋体" w:cs="宋体"/>
                <w:bCs/>
                <w:color w:val="000000"/>
                <w:kern w:val="0"/>
                <w:szCs w:val="21"/>
              </w:rPr>
              <w:t>主要包括投影仪、背投玻璃屏及造型、工控机、互动感应装置、多媒体影片等。</w:t>
            </w:r>
          </w:p>
          <w:p>
            <w:pPr>
              <w:widowControl/>
              <w:jc w:val="left"/>
              <w:rPr>
                <w:rFonts w:ascii="宋体" w:hAnsi="宋体" w:cs="宋体"/>
                <w:b/>
                <w:bCs/>
                <w:color w:val="000000"/>
                <w:kern w:val="0"/>
                <w:szCs w:val="21"/>
              </w:rPr>
            </w:pPr>
            <w:r>
              <w:rPr>
                <w:rFonts w:ascii="宋体" w:hAnsi="宋体" w:cs="宋体"/>
                <w:b/>
                <w:bCs/>
                <w:color w:val="000000"/>
                <w:kern w:val="0"/>
                <w:szCs w:val="21"/>
              </w:rPr>
              <w:t>4、</w:t>
            </w:r>
            <w:r>
              <w:rPr>
                <w:rFonts w:hint="eastAsia" w:ascii="宋体" w:hAnsi="宋体" w:cs="宋体"/>
                <w:b/>
                <w:bCs/>
                <w:color w:val="000000"/>
                <w:kern w:val="0"/>
                <w:szCs w:val="21"/>
              </w:rPr>
              <w:t>禁毒有我互动展示系统：</w:t>
            </w:r>
          </w:p>
          <w:p>
            <w:pPr>
              <w:widowControl/>
              <w:jc w:val="left"/>
              <w:rPr>
                <w:rFonts w:ascii="宋体" w:hAnsi="宋体" w:cs="宋体"/>
                <w:bCs/>
                <w:color w:val="000000"/>
                <w:kern w:val="0"/>
                <w:szCs w:val="21"/>
              </w:rPr>
            </w:pPr>
            <w:r>
              <w:rPr>
                <w:rFonts w:hint="eastAsia" w:ascii="宋体" w:hAnsi="宋体" w:cs="宋体"/>
                <w:bCs/>
                <w:color w:val="000000"/>
                <w:kern w:val="0"/>
                <w:szCs w:val="21"/>
              </w:rPr>
              <w:t>展示系统介绍：</w:t>
            </w:r>
          </w:p>
          <w:p>
            <w:pPr>
              <w:widowControl/>
              <w:jc w:val="left"/>
              <w:rPr>
                <w:rFonts w:ascii="宋体" w:hAnsi="宋体" w:cs="宋体"/>
                <w:bCs/>
                <w:color w:val="000000"/>
                <w:kern w:val="0"/>
                <w:szCs w:val="21"/>
              </w:rPr>
            </w:pPr>
            <w:r>
              <w:rPr>
                <w:rFonts w:hint="eastAsia" w:ascii="宋体" w:hAnsi="宋体" w:cs="宋体"/>
                <w:bCs/>
                <w:color w:val="000000"/>
                <w:kern w:val="0"/>
                <w:szCs w:val="21"/>
              </w:rPr>
              <w:t>在展区内设签名留言处，建设</w:t>
            </w:r>
            <w:r>
              <w:rPr>
                <w:rFonts w:ascii="宋体" w:hAnsi="宋体" w:cs="宋体"/>
                <w:bCs/>
                <w:color w:val="000000"/>
                <w:kern w:val="0"/>
                <w:szCs w:val="21"/>
              </w:rPr>
              <w:t>3套电子写字板设备，参观者可在此留下自己的心声并签下自己的姓名,存入禁毒教育馆的数据库内，并获得一个编号，代表着参观者的统计人数。</w:t>
            </w:r>
          </w:p>
          <w:p>
            <w:pPr>
              <w:widowControl/>
              <w:jc w:val="left"/>
              <w:rPr>
                <w:rFonts w:ascii="宋体" w:hAnsi="宋体" w:cs="宋体"/>
                <w:bCs/>
                <w:color w:val="000000"/>
                <w:kern w:val="0"/>
                <w:szCs w:val="21"/>
              </w:rPr>
            </w:pPr>
            <w:r>
              <w:rPr>
                <w:rFonts w:hint="eastAsia" w:ascii="宋体" w:hAnsi="宋体" w:cs="宋体"/>
                <w:bCs/>
                <w:color w:val="000000"/>
                <w:kern w:val="0"/>
                <w:szCs w:val="21"/>
              </w:rPr>
              <w:t>主要设备：</w:t>
            </w:r>
          </w:p>
          <w:p>
            <w:pPr>
              <w:widowControl/>
              <w:jc w:val="left"/>
              <w:rPr>
                <w:rFonts w:ascii="宋体" w:hAnsi="宋体" w:cs="宋体"/>
                <w:bCs/>
                <w:color w:val="000000"/>
                <w:kern w:val="0"/>
                <w:szCs w:val="21"/>
              </w:rPr>
            </w:pPr>
            <w:r>
              <w:rPr>
                <w:rFonts w:hint="eastAsia" w:ascii="宋体" w:hAnsi="宋体" w:cs="宋体"/>
                <w:bCs/>
                <w:color w:val="000000"/>
                <w:kern w:val="0"/>
                <w:szCs w:val="21"/>
              </w:rPr>
              <w:t>主要包括电子写字板、“手掌”感应系统、墙面艺术造型、长条</w:t>
            </w:r>
            <w:r>
              <w:rPr>
                <w:rFonts w:ascii="宋体" w:hAnsi="宋体" w:cs="宋体"/>
                <w:bCs/>
                <w:color w:val="000000"/>
                <w:kern w:val="0"/>
                <w:szCs w:val="21"/>
              </w:rPr>
              <w:t>LED单彩屏、计数及控制软件、数据库编程软件等。</w:t>
            </w:r>
          </w:p>
          <w:p>
            <w:pPr>
              <w:widowControl/>
              <w:jc w:val="left"/>
              <w:rPr>
                <w:rFonts w:ascii="宋体" w:hAnsi="宋体" w:cs="宋体"/>
                <w:b/>
                <w:bCs/>
                <w:color w:val="000000"/>
                <w:kern w:val="0"/>
                <w:szCs w:val="21"/>
              </w:rPr>
            </w:pPr>
            <w:r>
              <w:rPr>
                <w:rFonts w:hint="eastAsia" w:ascii="宋体" w:hAnsi="宋体" w:cs="宋体"/>
                <w:b/>
                <w:bCs/>
                <w:color w:val="000000"/>
                <w:kern w:val="0"/>
                <w:szCs w:val="21"/>
              </w:rPr>
              <w:t>5、展厅集中控制系统：</w:t>
            </w:r>
          </w:p>
          <w:p>
            <w:pPr>
              <w:widowControl/>
              <w:jc w:val="left"/>
              <w:rPr>
                <w:rFonts w:ascii="宋体" w:hAnsi="宋体" w:cs="宋体"/>
                <w:bCs/>
                <w:color w:val="000000"/>
                <w:kern w:val="0"/>
                <w:szCs w:val="21"/>
              </w:rPr>
            </w:pPr>
            <w:r>
              <w:rPr>
                <w:rFonts w:hint="eastAsia" w:ascii="宋体" w:hAnsi="宋体" w:cs="宋体"/>
                <w:bCs/>
                <w:color w:val="000000"/>
                <w:kern w:val="0"/>
                <w:szCs w:val="21"/>
              </w:rPr>
              <w:t>系统介绍：</w:t>
            </w:r>
          </w:p>
          <w:p>
            <w:pPr>
              <w:widowControl/>
              <w:jc w:val="left"/>
              <w:rPr>
                <w:rFonts w:ascii="宋体" w:hAnsi="宋体" w:cs="宋体"/>
                <w:bCs/>
                <w:color w:val="000000"/>
                <w:kern w:val="0"/>
                <w:szCs w:val="21"/>
              </w:rPr>
            </w:pPr>
            <w:r>
              <w:rPr>
                <w:rFonts w:hint="eastAsia" w:ascii="宋体" w:hAnsi="宋体" w:cs="宋体"/>
                <w:bCs/>
                <w:color w:val="000000"/>
                <w:kern w:val="0"/>
                <w:szCs w:val="21"/>
              </w:rPr>
              <w:t>建设一个展厅集中控制系统，集中管理禁毒教育馆展馆的设备，实现触摸屏操作，场景模式化应用；对灯光、声音等进行控制管理；设计1台中控主机，对多数设备实现集中控制，定制1套管理程序；采用1台移动终端作为操作的触摸屏，将对设备的操作集成在触摸屏上进行。</w:t>
            </w:r>
          </w:p>
          <w:p>
            <w:pPr>
              <w:widowControl/>
              <w:jc w:val="left"/>
              <w:rPr>
                <w:rFonts w:ascii="宋体" w:hAnsi="宋体" w:cs="宋体"/>
                <w:bCs/>
                <w:color w:val="000000"/>
                <w:kern w:val="0"/>
                <w:szCs w:val="21"/>
              </w:rPr>
            </w:pPr>
            <w:r>
              <w:rPr>
                <w:rFonts w:hint="eastAsia" w:ascii="宋体" w:hAnsi="宋体" w:cs="宋体"/>
                <w:bCs/>
                <w:color w:val="000000"/>
                <w:kern w:val="0"/>
                <w:szCs w:val="21"/>
              </w:rPr>
              <w:t>主要设备：</w:t>
            </w:r>
          </w:p>
          <w:p>
            <w:pPr>
              <w:widowControl/>
              <w:jc w:val="left"/>
              <w:rPr>
                <w:rFonts w:ascii="宋体" w:hAnsi="宋体" w:cs="宋体"/>
                <w:bCs/>
                <w:color w:val="000000"/>
                <w:kern w:val="0"/>
                <w:szCs w:val="21"/>
              </w:rPr>
            </w:pPr>
            <w:r>
              <w:rPr>
                <w:rFonts w:hint="eastAsia" w:ascii="宋体" w:hAnsi="宋体" w:cs="宋体"/>
                <w:bCs/>
                <w:color w:val="000000"/>
                <w:kern w:val="0"/>
                <w:szCs w:val="21"/>
              </w:rPr>
              <w:t>主要包括网络交换机、高性能网络化可编程控制主机、电源控制器、液晶显示器、高功率无线AP、中央集中控制软件和无线终端控制软件等。</w:t>
            </w:r>
          </w:p>
        </w:tc>
      </w:tr>
    </w:tbl>
    <w:p>
      <w:pPr>
        <w:pStyle w:val="2"/>
        <w:ind w:firstLine="480" w:firstLineChars="200"/>
        <w:rPr>
          <w:rFonts w:hint="eastAsia"/>
        </w:rPr>
      </w:pPr>
    </w:p>
    <w:p>
      <w:pPr>
        <w:spacing w:line="360" w:lineRule="auto"/>
        <w:outlineLvl w:val="0"/>
        <w:rPr>
          <w:sz w:val="24"/>
        </w:rPr>
      </w:pPr>
      <w:r>
        <w:rPr>
          <w:rFonts w:hint="eastAsia"/>
          <w:b/>
          <w:sz w:val="24"/>
        </w:rPr>
        <w:t>二、双方的义务与责任</w:t>
      </w:r>
      <w:r>
        <w:rPr>
          <w:sz w:val="24"/>
        </w:rPr>
        <w:t xml:space="preserve"> </w:t>
      </w:r>
    </w:p>
    <w:p>
      <w:pPr>
        <w:spacing w:line="360" w:lineRule="auto"/>
        <w:ind w:firstLine="480" w:firstLineChars="200"/>
        <w:rPr>
          <w:sz w:val="24"/>
        </w:rPr>
      </w:pPr>
      <w:r>
        <w:rPr>
          <w:sz w:val="24"/>
        </w:rPr>
        <w:t xml:space="preserve">1. </w:t>
      </w:r>
      <w:r>
        <w:rPr>
          <w:rFonts w:hint="eastAsia"/>
          <w:sz w:val="24"/>
        </w:rPr>
        <w:t>甲方的义务与责任：</w:t>
      </w:r>
    </w:p>
    <w:p>
      <w:pPr>
        <w:numPr>
          <w:ilvl w:val="0"/>
          <w:numId w:val="1"/>
        </w:numPr>
        <w:spacing w:line="360" w:lineRule="auto"/>
        <w:rPr>
          <w:sz w:val="24"/>
        </w:rPr>
      </w:pPr>
      <w:r>
        <w:rPr>
          <w:rFonts w:hint="eastAsia"/>
          <w:sz w:val="24"/>
        </w:rPr>
        <w:t>按照合同约定支付所有费用。</w:t>
      </w:r>
    </w:p>
    <w:p>
      <w:pPr>
        <w:numPr>
          <w:ilvl w:val="0"/>
          <w:numId w:val="1"/>
        </w:numPr>
        <w:spacing w:line="360" w:lineRule="auto"/>
        <w:rPr>
          <w:sz w:val="24"/>
        </w:rPr>
      </w:pPr>
      <w:r>
        <w:rPr>
          <w:rFonts w:hint="eastAsia"/>
          <w:sz w:val="24"/>
        </w:rPr>
        <w:t>按照乙方要求以书面形式出具测试需求，包括测试子特性、测试软硬件环境等。</w:t>
      </w:r>
    </w:p>
    <w:p>
      <w:pPr>
        <w:numPr>
          <w:ilvl w:val="0"/>
          <w:numId w:val="1"/>
        </w:numPr>
        <w:spacing w:line="360" w:lineRule="auto"/>
        <w:rPr>
          <w:rFonts w:hint="eastAsia"/>
          <w:sz w:val="24"/>
        </w:rPr>
      </w:pPr>
      <w:r>
        <w:rPr>
          <w:rFonts w:hint="eastAsia"/>
          <w:sz w:val="24"/>
        </w:rPr>
        <w:t>提供符合交付要求的测试样品及相关文档，需求分析、设计文档、用户文档至乙方，但对于测试有特殊要求，乙方应当向甲方书面说明。</w:t>
      </w:r>
    </w:p>
    <w:p>
      <w:pPr>
        <w:numPr>
          <w:ilvl w:val="0"/>
          <w:numId w:val="1"/>
        </w:numPr>
        <w:spacing w:line="360" w:lineRule="auto"/>
        <w:rPr>
          <w:rFonts w:hint="eastAsia"/>
          <w:sz w:val="24"/>
        </w:rPr>
      </w:pPr>
      <w:r>
        <w:rPr>
          <w:rFonts w:hint="eastAsia"/>
          <w:sz w:val="24"/>
        </w:rPr>
        <w:t>指派专人配合乙方测试工作，并提供必要的技术协助。</w:t>
      </w:r>
    </w:p>
    <w:p>
      <w:pPr>
        <w:numPr>
          <w:ilvl w:val="0"/>
          <w:numId w:val="1"/>
        </w:numPr>
        <w:spacing w:line="360" w:lineRule="auto"/>
        <w:rPr>
          <w:rFonts w:hint="eastAsia"/>
          <w:sz w:val="24"/>
        </w:rPr>
      </w:pPr>
      <w:r>
        <w:rPr>
          <w:rFonts w:hint="eastAsia"/>
          <w:sz w:val="24"/>
        </w:rPr>
        <w:t>甲方对乙方提交的调研成果和其他文件，及时进行审核和给予反馈意见要求乙方处理。</w:t>
      </w:r>
    </w:p>
    <w:p>
      <w:pPr>
        <w:numPr>
          <w:ilvl w:val="0"/>
          <w:numId w:val="1"/>
        </w:numPr>
        <w:spacing w:line="360" w:lineRule="auto"/>
        <w:rPr>
          <w:sz w:val="24"/>
        </w:rPr>
      </w:pPr>
      <w:r>
        <w:rPr>
          <w:rFonts w:hint="eastAsia"/>
          <w:sz w:val="24"/>
        </w:rPr>
        <w:t>甲方有权要求乙方按工作计划的进度、高质量地提供本合同的测评服务，对乙方的工作进行监督和指导。乙方履行义务不符合约定，经甲方提出后仍不能改正的，甲方有权解除合同，乙方应当退还已收取的费用、并承担违约责任。</w:t>
      </w:r>
    </w:p>
    <w:p>
      <w:pPr>
        <w:spacing w:line="360" w:lineRule="auto"/>
        <w:ind w:firstLine="480" w:firstLineChars="200"/>
        <w:rPr>
          <w:rFonts w:hint="eastAsia"/>
          <w:sz w:val="24"/>
        </w:rPr>
      </w:pPr>
      <w:r>
        <w:rPr>
          <w:sz w:val="24"/>
        </w:rPr>
        <w:t xml:space="preserve">2. </w:t>
      </w:r>
      <w:r>
        <w:rPr>
          <w:rFonts w:hint="eastAsia"/>
          <w:sz w:val="24"/>
        </w:rPr>
        <w:t>乙方的义务与责任：</w:t>
      </w:r>
    </w:p>
    <w:p>
      <w:pPr>
        <w:numPr>
          <w:ilvl w:val="0"/>
          <w:numId w:val="2"/>
        </w:numPr>
        <w:spacing w:line="360" w:lineRule="auto"/>
        <w:rPr>
          <w:rFonts w:hint="eastAsia"/>
          <w:sz w:val="24"/>
        </w:rPr>
      </w:pPr>
      <w:r>
        <w:rPr>
          <w:rFonts w:hint="eastAsia"/>
          <w:sz w:val="24"/>
        </w:rPr>
        <w:t>乙方承诺具有履行本协议的资质和条件，按照被测系统的《用户需求说明书》和《用户手册》，制定和实施测试方案，测试的标准不得低于国家标准；若甲方要求或通知、或乙方提供的标准低于国家标准、或不完整的，乙方应当及时向甲方书面告知，确保按较高的国家标准执行。</w:t>
      </w:r>
    </w:p>
    <w:p>
      <w:pPr>
        <w:numPr>
          <w:ilvl w:val="0"/>
          <w:numId w:val="2"/>
        </w:numPr>
        <w:spacing w:line="360" w:lineRule="auto"/>
        <w:rPr>
          <w:sz w:val="24"/>
        </w:rPr>
      </w:pPr>
      <w:r>
        <w:rPr>
          <w:rFonts w:hint="eastAsia"/>
          <w:sz w:val="24"/>
        </w:rPr>
        <w:t>在第一次测试完成之后</w:t>
      </w:r>
      <w:r>
        <w:rPr>
          <w:rFonts w:hint="eastAsia"/>
          <w:sz w:val="24"/>
          <w:u w:val="single"/>
        </w:rPr>
        <w:t xml:space="preserve"> 5 </w:t>
      </w:r>
      <w:r>
        <w:rPr>
          <w:rFonts w:hint="eastAsia"/>
          <w:sz w:val="24"/>
        </w:rPr>
        <w:t>天内，向甲方出具完整的问题报告。</w:t>
      </w:r>
    </w:p>
    <w:p>
      <w:pPr>
        <w:numPr>
          <w:ilvl w:val="0"/>
          <w:numId w:val="2"/>
        </w:numPr>
        <w:spacing w:line="360" w:lineRule="auto"/>
        <w:rPr>
          <w:rFonts w:hint="eastAsia"/>
          <w:color w:val="000000"/>
          <w:sz w:val="24"/>
        </w:rPr>
      </w:pPr>
      <w:r>
        <w:rPr>
          <w:rFonts w:hint="eastAsia"/>
          <w:color w:val="000000"/>
          <w:sz w:val="24"/>
        </w:rPr>
        <w:t>根据问题报告和通过准则，判断被测系统是否合格，并对测试结果承担责任。</w:t>
      </w:r>
    </w:p>
    <w:p>
      <w:pPr>
        <w:numPr>
          <w:ilvl w:val="0"/>
          <w:numId w:val="2"/>
        </w:numPr>
        <w:spacing w:line="360" w:lineRule="auto"/>
        <w:rPr>
          <w:rFonts w:hint="eastAsia"/>
          <w:sz w:val="24"/>
        </w:rPr>
      </w:pPr>
      <w:r>
        <w:rPr>
          <w:rFonts w:hint="eastAsia"/>
          <w:sz w:val="24"/>
        </w:rPr>
        <w:t>如被测系统测试结论为合格，但仍存在不合格项的，则对建设方整改的被测系统，针对问题报告进行一次回归测试。如被测系统整体测试结果为不合格，则乙方不进行回归测试。</w:t>
      </w:r>
    </w:p>
    <w:p>
      <w:pPr>
        <w:numPr>
          <w:ilvl w:val="0"/>
          <w:numId w:val="2"/>
        </w:numPr>
        <w:spacing w:line="360" w:lineRule="auto"/>
        <w:rPr>
          <w:rFonts w:hint="eastAsia"/>
          <w:sz w:val="24"/>
        </w:rPr>
      </w:pPr>
      <w:r>
        <w:rPr>
          <w:rFonts w:hint="eastAsia"/>
          <w:sz w:val="24"/>
        </w:rPr>
        <w:t>向甲方提交正式测试报告，乙方对检测结果的真实性、合法性、完整性和准确性负责。</w:t>
      </w:r>
    </w:p>
    <w:p>
      <w:pPr>
        <w:numPr>
          <w:ilvl w:val="0"/>
          <w:numId w:val="2"/>
        </w:numPr>
        <w:spacing w:line="360" w:lineRule="auto"/>
        <w:rPr>
          <w:rFonts w:hint="eastAsia"/>
          <w:sz w:val="24"/>
        </w:rPr>
      </w:pPr>
      <w:r>
        <w:rPr>
          <w:rFonts w:hint="eastAsia"/>
          <w:sz w:val="24"/>
        </w:rPr>
        <w:t>测试过程中，乙方服从甲方及业主的协调与管理。</w:t>
      </w:r>
    </w:p>
    <w:p>
      <w:pPr>
        <w:spacing w:line="360" w:lineRule="auto"/>
        <w:ind w:left="720"/>
        <w:rPr>
          <w:sz w:val="24"/>
        </w:rPr>
      </w:pPr>
    </w:p>
    <w:p>
      <w:pPr>
        <w:spacing w:line="360" w:lineRule="auto"/>
        <w:outlineLvl w:val="0"/>
        <w:rPr>
          <w:rFonts w:hint="eastAsia"/>
          <w:b/>
          <w:sz w:val="24"/>
        </w:rPr>
      </w:pPr>
      <w:r>
        <w:rPr>
          <w:rFonts w:hint="eastAsia"/>
          <w:b/>
          <w:sz w:val="24"/>
        </w:rPr>
        <w:t>三、履约地点</w:t>
      </w:r>
    </w:p>
    <w:p>
      <w:pPr>
        <w:spacing w:line="360" w:lineRule="auto"/>
        <w:ind w:firstLine="420"/>
        <w:rPr>
          <w:color w:val="000000"/>
          <w:sz w:val="24"/>
        </w:rPr>
      </w:pPr>
      <w:r>
        <w:rPr>
          <w:rFonts w:hint="eastAsia"/>
          <w:color w:val="000000"/>
          <w:sz w:val="24"/>
        </w:rPr>
        <w:t>项目现场或甲方指定地点。</w:t>
      </w:r>
    </w:p>
    <w:p>
      <w:pPr>
        <w:spacing w:line="360" w:lineRule="auto"/>
        <w:ind w:firstLine="420"/>
        <w:rPr>
          <w:rFonts w:hint="eastAsia"/>
          <w:color w:val="000000"/>
          <w:sz w:val="24"/>
        </w:rPr>
      </w:pPr>
    </w:p>
    <w:p>
      <w:pPr>
        <w:tabs>
          <w:tab w:val="left" w:pos="1560"/>
        </w:tabs>
        <w:spacing w:line="360" w:lineRule="auto"/>
        <w:outlineLvl w:val="0"/>
        <w:rPr>
          <w:sz w:val="24"/>
        </w:rPr>
      </w:pPr>
      <w:r>
        <w:rPr>
          <w:rFonts w:hint="eastAsia"/>
          <w:b/>
          <w:sz w:val="24"/>
        </w:rPr>
        <w:t>四、履行的期限</w:t>
      </w:r>
    </w:p>
    <w:p>
      <w:pPr>
        <w:numPr>
          <w:ilvl w:val="0"/>
          <w:numId w:val="3"/>
        </w:numPr>
        <w:spacing w:line="360" w:lineRule="auto"/>
        <w:rPr>
          <w:rFonts w:hint="eastAsia"/>
          <w:sz w:val="24"/>
        </w:rPr>
      </w:pPr>
      <w:r>
        <w:rPr>
          <w:rFonts w:hint="eastAsia"/>
          <w:sz w:val="24"/>
        </w:rPr>
        <w:t>本次测试的履行期限为合同签订后</w:t>
      </w:r>
      <w:r>
        <w:rPr>
          <w:color w:val="000000"/>
          <w:sz w:val="24"/>
          <w:u w:val="single"/>
        </w:rPr>
        <w:t>1</w:t>
      </w:r>
      <w:r>
        <w:rPr>
          <w:rFonts w:hint="eastAsia"/>
          <w:color w:val="000000"/>
          <w:sz w:val="24"/>
          <w:u w:val="single"/>
        </w:rPr>
        <w:t xml:space="preserve">月 </w:t>
      </w:r>
      <w:r>
        <w:rPr>
          <w:rFonts w:hint="eastAsia"/>
          <w:sz w:val="24"/>
        </w:rPr>
        <w:t>内完成。</w:t>
      </w:r>
    </w:p>
    <w:p>
      <w:pPr>
        <w:numPr>
          <w:ilvl w:val="0"/>
          <w:numId w:val="4"/>
        </w:numPr>
        <w:spacing w:line="360" w:lineRule="auto"/>
        <w:rPr>
          <w:rFonts w:hint="eastAsia"/>
          <w:sz w:val="24"/>
        </w:rPr>
      </w:pPr>
      <w:r>
        <w:rPr>
          <w:rFonts w:hint="eastAsia"/>
          <w:sz w:val="24"/>
        </w:rPr>
        <w:t>经甲乙双方同意，测试过程中可根据实际情况对测试进度作适当修改，并以修改后的测试进度作为本合同执行的期限。</w:t>
      </w:r>
    </w:p>
    <w:p>
      <w:pPr>
        <w:numPr>
          <w:ilvl w:val="0"/>
          <w:numId w:val="4"/>
        </w:numPr>
        <w:spacing w:line="360" w:lineRule="auto"/>
        <w:rPr>
          <w:rFonts w:hint="eastAsia"/>
          <w:sz w:val="24"/>
        </w:rPr>
      </w:pPr>
      <w:r>
        <w:rPr>
          <w:rFonts w:hint="eastAsia"/>
          <w:sz w:val="24"/>
        </w:rPr>
        <w:t>如因甲方原因，导致测试进度延迟，应由甲方负责,乙方不承担责任。</w:t>
      </w:r>
    </w:p>
    <w:p>
      <w:pPr>
        <w:numPr>
          <w:ilvl w:val="0"/>
          <w:numId w:val="4"/>
        </w:numPr>
        <w:spacing w:line="360" w:lineRule="auto"/>
        <w:rPr>
          <w:sz w:val="24"/>
        </w:rPr>
      </w:pPr>
      <w:r>
        <w:rPr>
          <w:rFonts w:hint="eastAsia"/>
          <w:sz w:val="24"/>
        </w:rPr>
        <w:t>如因乙方原因，导致测试进度延迟，则甲方可酌情提出赔偿要求，赔偿金额不超过甲方已付金额的1%</w:t>
      </w:r>
      <w:r>
        <w:rPr>
          <w:sz w:val="24"/>
        </w:rPr>
        <w:t>。</w:t>
      </w:r>
    </w:p>
    <w:p>
      <w:pPr>
        <w:spacing w:line="360" w:lineRule="auto"/>
        <w:ind w:left="780"/>
        <w:rPr>
          <w:rFonts w:hint="eastAsia"/>
          <w:sz w:val="24"/>
        </w:rPr>
      </w:pPr>
    </w:p>
    <w:p>
      <w:pPr>
        <w:spacing w:line="360" w:lineRule="auto"/>
        <w:outlineLvl w:val="0"/>
        <w:rPr>
          <w:rFonts w:hint="eastAsia"/>
          <w:b/>
          <w:sz w:val="24"/>
        </w:rPr>
      </w:pPr>
      <w:r>
        <w:rPr>
          <w:rFonts w:hint="eastAsia"/>
          <w:b/>
          <w:sz w:val="24"/>
        </w:rPr>
        <w:t>五、合同价款及支付方式</w:t>
      </w:r>
    </w:p>
    <w:p>
      <w:pPr>
        <w:spacing w:line="360" w:lineRule="auto"/>
        <w:ind w:firstLine="420"/>
        <w:rPr>
          <w:rFonts w:hint="eastAsia"/>
          <w:color w:val="000000"/>
          <w:sz w:val="24"/>
        </w:rPr>
      </w:pPr>
      <w:r>
        <w:rPr>
          <w:rFonts w:hint="eastAsia"/>
          <w:color w:val="000000"/>
          <w:sz w:val="24"/>
        </w:rPr>
        <w:t>本合同计收测试费用人民币</w:t>
      </w:r>
      <w:r>
        <w:rPr>
          <w:rFonts w:hint="eastAsia"/>
          <w:color w:val="000000"/>
          <w:sz w:val="24"/>
          <w:lang w:val="en-US" w:eastAsia="zh-CN"/>
        </w:rPr>
        <w:t>×××</w:t>
      </w:r>
      <w:r>
        <w:rPr>
          <w:rFonts w:hint="eastAsia"/>
          <w:color w:val="000000"/>
          <w:sz w:val="24"/>
        </w:rPr>
        <w:t>（大写）（小写）。</w:t>
      </w:r>
    </w:p>
    <w:p>
      <w:pPr>
        <w:spacing w:line="360" w:lineRule="auto"/>
        <w:ind w:firstLine="420"/>
        <w:rPr>
          <w:color w:val="000000"/>
          <w:sz w:val="24"/>
        </w:rPr>
      </w:pPr>
      <w:r>
        <w:rPr>
          <w:rFonts w:hint="eastAsia"/>
          <w:color w:val="000000"/>
          <w:sz w:val="24"/>
        </w:rPr>
        <w:t>1、合同签订后10 个工作日内，甲方向乙方支付人民币</w:t>
      </w:r>
      <w:r>
        <w:rPr>
          <w:rFonts w:hint="eastAsia"/>
          <w:color w:val="000000"/>
          <w:sz w:val="24"/>
          <w:u w:val="single"/>
        </w:rPr>
        <w:t xml:space="preserve"> </w:t>
      </w:r>
      <w:r>
        <w:rPr>
          <w:rFonts w:hint="eastAsia"/>
          <w:color w:val="000000"/>
          <w:sz w:val="24"/>
          <w:u w:val="single"/>
          <w:lang w:val="en-US" w:eastAsia="zh-CN"/>
        </w:rPr>
        <w:t>×××</w:t>
      </w:r>
      <w:r>
        <w:rPr>
          <w:rFonts w:hint="eastAsia"/>
          <w:color w:val="000000"/>
          <w:sz w:val="24"/>
        </w:rPr>
        <w:t>（大写）</w:t>
      </w:r>
      <w:r>
        <w:rPr>
          <w:rFonts w:hint="eastAsia"/>
          <w:color w:val="000000"/>
          <w:sz w:val="24"/>
          <w:u w:val="single"/>
        </w:rPr>
        <w:t>（¥</w:t>
      </w:r>
      <w:r>
        <w:rPr>
          <w:rFonts w:hint="eastAsia"/>
          <w:color w:val="000000"/>
          <w:sz w:val="24"/>
          <w:u w:val="single"/>
          <w:lang w:val="en-US" w:eastAsia="zh-CN"/>
        </w:rPr>
        <w:t>×××</w:t>
      </w:r>
      <w:r>
        <w:rPr>
          <w:rFonts w:hint="eastAsia"/>
          <w:color w:val="000000"/>
          <w:sz w:val="24"/>
          <w:u w:val="single"/>
        </w:rPr>
        <w:t>）</w:t>
      </w:r>
      <w:r>
        <w:rPr>
          <w:rFonts w:hint="eastAsia"/>
          <w:color w:val="000000"/>
          <w:sz w:val="24"/>
        </w:rPr>
        <w:t>（小写），占合同总额的50%。</w:t>
      </w:r>
    </w:p>
    <w:p>
      <w:pPr>
        <w:spacing w:line="360" w:lineRule="auto"/>
        <w:ind w:firstLine="420"/>
        <w:rPr>
          <w:color w:val="000000"/>
          <w:sz w:val="24"/>
        </w:rPr>
      </w:pPr>
      <w:r>
        <w:rPr>
          <w:rFonts w:hint="eastAsia"/>
          <w:color w:val="000000"/>
          <w:sz w:val="24"/>
        </w:rPr>
        <w:t>2、乙方完成测试工作并向甲方提交正式测试报告后的 1</w:t>
      </w:r>
      <w:r>
        <w:rPr>
          <w:color w:val="000000"/>
          <w:sz w:val="24"/>
        </w:rPr>
        <w:t>0</w:t>
      </w:r>
      <w:r>
        <w:rPr>
          <w:rFonts w:hint="eastAsia"/>
          <w:color w:val="000000"/>
          <w:sz w:val="24"/>
        </w:rPr>
        <w:t>个工作日内，甲方向乙方支付剩余人民币</w:t>
      </w:r>
      <w:r>
        <w:rPr>
          <w:rFonts w:hint="eastAsia"/>
          <w:color w:val="000000"/>
          <w:sz w:val="24"/>
          <w:u w:val="single"/>
        </w:rPr>
        <w:t xml:space="preserve"> </w:t>
      </w:r>
      <w:r>
        <w:rPr>
          <w:rFonts w:hint="eastAsia"/>
          <w:color w:val="000000"/>
          <w:sz w:val="24"/>
          <w:u w:val="single"/>
          <w:lang w:val="en-US" w:eastAsia="zh-CN"/>
        </w:rPr>
        <w:t>×××</w:t>
      </w:r>
      <w:r>
        <w:rPr>
          <w:rFonts w:hint="eastAsia"/>
          <w:color w:val="000000"/>
          <w:sz w:val="24"/>
          <w:u w:val="single"/>
        </w:rPr>
        <w:t>（大写）</w:t>
      </w:r>
      <w:r>
        <w:rPr>
          <w:rFonts w:hint="eastAsia"/>
          <w:color w:val="000000"/>
          <w:sz w:val="24"/>
        </w:rPr>
        <w:t>（¥</w:t>
      </w:r>
      <w:r>
        <w:rPr>
          <w:rFonts w:hint="eastAsia"/>
          <w:color w:val="000000"/>
          <w:sz w:val="24"/>
          <w:u w:val="single"/>
        </w:rPr>
        <w:t xml:space="preserve"> </w:t>
      </w:r>
      <w:r>
        <w:rPr>
          <w:rFonts w:hint="eastAsia"/>
          <w:color w:val="000000"/>
          <w:sz w:val="24"/>
          <w:u w:val="single"/>
          <w:lang w:val="en-US" w:eastAsia="zh-CN"/>
        </w:rPr>
        <w:t>×××</w:t>
      </w:r>
      <w:r>
        <w:rPr>
          <w:rFonts w:hint="eastAsia"/>
          <w:color w:val="000000"/>
          <w:sz w:val="24"/>
        </w:rPr>
        <w:t>）（小写），占合同总额的5</w:t>
      </w:r>
      <w:r>
        <w:rPr>
          <w:color w:val="000000"/>
          <w:sz w:val="24"/>
        </w:rPr>
        <w:t>0</w:t>
      </w:r>
      <w:r>
        <w:rPr>
          <w:rFonts w:hint="eastAsia"/>
          <w:color w:val="000000"/>
          <w:sz w:val="24"/>
        </w:rPr>
        <w:t>%。</w:t>
      </w:r>
    </w:p>
    <w:p>
      <w:pPr>
        <w:spacing w:line="360" w:lineRule="auto"/>
        <w:ind w:firstLine="420"/>
        <w:rPr>
          <w:rFonts w:hint="eastAsia"/>
          <w:sz w:val="24"/>
          <w:szCs w:val="22"/>
        </w:rPr>
      </w:pPr>
      <w:r>
        <w:rPr>
          <w:color w:val="000000"/>
          <w:sz w:val="24"/>
        </w:rPr>
        <w:t>3</w:t>
      </w:r>
      <w:r>
        <w:rPr>
          <w:rFonts w:hint="eastAsia"/>
          <w:color w:val="000000"/>
          <w:sz w:val="24"/>
        </w:rPr>
        <w:t>、</w:t>
      </w:r>
      <w:r>
        <w:rPr>
          <w:rFonts w:hint="eastAsia"/>
          <w:sz w:val="24"/>
          <w:szCs w:val="22"/>
        </w:rPr>
        <w:t>乙方须在付款前向甲方提供等额的增值税发票。</w:t>
      </w:r>
    </w:p>
    <w:p>
      <w:pPr>
        <w:spacing w:line="360" w:lineRule="auto"/>
        <w:ind w:firstLine="420"/>
        <w:rPr>
          <w:sz w:val="24"/>
          <w:szCs w:val="22"/>
          <w:u w:val="single"/>
        </w:rPr>
      </w:pPr>
      <w:r>
        <w:rPr>
          <w:rFonts w:hint="eastAsia"/>
          <w:sz w:val="24"/>
          <w:szCs w:val="22"/>
          <w:u w:val="single"/>
        </w:rPr>
        <w:t>鉴于甲方使用的是财政资金，甲方按期办理财政支付手续的，视为甲方已按约支付。由于财政拨款不到位或乙方未及时提供合法有效的发票导致乙方收款延误的，甲方不承担责任，并且此情况不能成为乙方中止或拒绝履行合同约定义务的理由。</w:t>
      </w:r>
    </w:p>
    <w:p>
      <w:pPr>
        <w:spacing w:line="360" w:lineRule="auto"/>
        <w:ind w:firstLine="0" w:firstLineChars="0"/>
        <w:rPr>
          <w:rFonts w:hint="eastAsia"/>
          <w:sz w:val="24"/>
        </w:rPr>
      </w:pPr>
    </w:p>
    <w:p>
      <w:pPr>
        <w:spacing w:line="360" w:lineRule="auto"/>
        <w:outlineLvl w:val="0"/>
        <w:rPr>
          <w:sz w:val="24"/>
        </w:rPr>
      </w:pPr>
      <w:r>
        <w:rPr>
          <w:rFonts w:hint="eastAsia"/>
          <w:b/>
          <w:sz w:val="24"/>
        </w:rPr>
        <w:t>六、资料的保密</w:t>
      </w:r>
    </w:p>
    <w:p>
      <w:pPr>
        <w:spacing w:line="360" w:lineRule="auto"/>
        <w:ind w:firstLine="540"/>
        <w:rPr>
          <w:sz w:val="24"/>
        </w:rPr>
      </w:pPr>
      <w:r>
        <w:rPr>
          <w:rFonts w:hint="eastAsia"/>
          <w:sz w:val="24"/>
        </w:rPr>
        <w:t>对于一方向另一方提供使用的秘密信息，另一方负有保密的责任，不得泄露。为明确双方的保密义务，双方应签署《项目测试保密协议》，并保证切实遵守其中条款。</w:t>
      </w:r>
      <w:r>
        <w:rPr>
          <w:sz w:val="24"/>
        </w:rPr>
        <w:t xml:space="preserve">  </w:t>
      </w:r>
    </w:p>
    <w:p>
      <w:pPr>
        <w:spacing w:line="360" w:lineRule="auto"/>
        <w:ind w:firstLine="540"/>
        <w:rPr>
          <w:sz w:val="24"/>
        </w:rPr>
      </w:pPr>
    </w:p>
    <w:p>
      <w:pPr>
        <w:outlineLvl w:val="0"/>
        <w:rPr>
          <w:b/>
          <w:sz w:val="24"/>
        </w:rPr>
      </w:pPr>
      <w:r>
        <w:rPr>
          <w:rFonts w:hint="eastAsia"/>
          <w:b/>
          <w:sz w:val="24"/>
        </w:rPr>
        <w:t>七、验收方法</w:t>
      </w:r>
    </w:p>
    <w:p>
      <w:pPr>
        <w:spacing w:line="360" w:lineRule="auto"/>
        <w:ind w:firstLine="540"/>
        <w:rPr>
          <w:rFonts w:hint="eastAsia"/>
          <w:color w:val="000000"/>
        </w:rPr>
      </w:pPr>
      <w:r>
        <w:rPr>
          <w:rFonts w:hint="eastAsia"/>
          <w:sz w:val="24"/>
        </w:rPr>
        <w:t>由乙方向甲方提交</w:t>
      </w:r>
      <w:r>
        <w:rPr>
          <w:rFonts w:hint="eastAsia"/>
          <w:sz w:val="24"/>
          <w:u w:val="single"/>
        </w:rPr>
        <w:t>加盖CNAS或CMA检测章</w:t>
      </w:r>
      <w:r>
        <w:rPr>
          <w:rFonts w:hint="eastAsia"/>
          <w:sz w:val="24"/>
        </w:rPr>
        <w:t>的项目测试报告正本一份，副本一份，甲方签收测试报告后，完成验收。</w:t>
      </w:r>
    </w:p>
    <w:p>
      <w:pPr>
        <w:spacing w:line="360" w:lineRule="auto"/>
        <w:outlineLvl w:val="0"/>
        <w:rPr>
          <w:rFonts w:hint="eastAsia"/>
          <w:b/>
          <w:color w:val="000000"/>
          <w:sz w:val="24"/>
        </w:rPr>
      </w:pPr>
      <w:r>
        <w:rPr>
          <w:rFonts w:hint="eastAsia"/>
          <w:b/>
          <w:color w:val="000000"/>
          <w:sz w:val="24"/>
        </w:rPr>
        <w:t>八、</w:t>
      </w:r>
      <w:r>
        <w:rPr>
          <w:b/>
          <w:color w:val="000000"/>
          <w:sz w:val="24"/>
        </w:rPr>
        <w:t xml:space="preserve"> </w:t>
      </w:r>
      <w:r>
        <w:rPr>
          <w:rFonts w:hint="eastAsia"/>
          <w:b/>
          <w:color w:val="000000"/>
          <w:sz w:val="24"/>
        </w:rPr>
        <w:t>争议解决</w:t>
      </w:r>
    </w:p>
    <w:p>
      <w:pPr>
        <w:numPr>
          <w:ilvl w:val="0"/>
          <w:numId w:val="5"/>
        </w:numPr>
        <w:tabs>
          <w:tab w:val="left" w:pos="540"/>
          <w:tab w:val="clear" w:pos="840"/>
        </w:tabs>
        <w:spacing w:line="360" w:lineRule="auto"/>
        <w:ind w:hanging="300"/>
        <w:rPr>
          <w:rFonts w:hint="eastAsia"/>
          <w:color w:val="000000"/>
          <w:sz w:val="24"/>
        </w:rPr>
      </w:pPr>
      <w:r>
        <w:rPr>
          <w:rFonts w:hint="eastAsia"/>
          <w:color w:val="000000"/>
          <w:sz w:val="24"/>
        </w:rPr>
        <w:t>双方对本合同履行过程中产生的一切争议，通过友好协商解决。如协商无法解决，各方应向广州市中级人民法院起诉。</w:t>
      </w:r>
    </w:p>
    <w:p>
      <w:pPr>
        <w:numPr>
          <w:ilvl w:val="0"/>
          <w:numId w:val="5"/>
        </w:numPr>
        <w:spacing w:line="360" w:lineRule="auto"/>
        <w:ind w:hanging="300"/>
        <w:rPr>
          <w:rFonts w:hint="eastAsia"/>
          <w:color w:val="000000"/>
          <w:sz w:val="24"/>
        </w:rPr>
      </w:pPr>
      <w:r>
        <w:rPr>
          <w:rFonts w:hint="eastAsia"/>
          <w:color w:val="000000"/>
          <w:sz w:val="24"/>
        </w:rPr>
        <w:t>在合同责任范围内的违约，由责任方承担法律责任。</w:t>
      </w:r>
    </w:p>
    <w:p>
      <w:pPr>
        <w:numPr>
          <w:ilvl w:val="0"/>
          <w:numId w:val="5"/>
        </w:numPr>
        <w:spacing w:line="360" w:lineRule="auto"/>
        <w:ind w:hanging="300"/>
        <w:rPr>
          <w:sz w:val="24"/>
        </w:rPr>
      </w:pPr>
      <w:r>
        <w:rPr>
          <w:rFonts w:hint="eastAsia"/>
          <w:sz w:val="24"/>
        </w:rPr>
        <w:t>在合同履行过程中发生的合同责任范围外的问题，由双方协商解决。</w:t>
      </w:r>
    </w:p>
    <w:p>
      <w:pPr>
        <w:spacing w:line="360" w:lineRule="auto"/>
        <w:ind w:left="840"/>
        <w:rPr>
          <w:rFonts w:hint="eastAsia"/>
          <w:sz w:val="24"/>
        </w:rPr>
      </w:pPr>
    </w:p>
    <w:p>
      <w:pPr>
        <w:spacing w:line="360" w:lineRule="auto"/>
        <w:outlineLvl w:val="0"/>
        <w:rPr>
          <w:b/>
          <w:sz w:val="24"/>
        </w:rPr>
      </w:pPr>
      <w:r>
        <w:rPr>
          <w:rFonts w:hint="eastAsia"/>
          <w:b/>
          <w:sz w:val="24"/>
        </w:rPr>
        <w:t>九、</w:t>
      </w:r>
      <w:r>
        <w:rPr>
          <w:b/>
          <w:sz w:val="24"/>
        </w:rPr>
        <w:t xml:space="preserve"> </w:t>
      </w:r>
      <w:r>
        <w:rPr>
          <w:rFonts w:hint="eastAsia"/>
          <w:b/>
          <w:sz w:val="24"/>
        </w:rPr>
        <w:t>其他</w:t>
      </w:r>
    </w:p>
    <w:p>
      <w:pPr>
        <w:spacing w:line="360" w:lineRule="auto"/>
        <w:ind w:firstLine="480" w:firstLineChars="200"/>
        <w:rPr>
          <w:sz w:val="24"/>
        </w:rPr>
      </w:pPr>
      <w:r>
        <w:rPr>
          <w:rFonts w:hint="eastAsia"/>
          <w:sz w:val="24"/>
        </w:rPr>
        <w:t>本合同自双方授权代表签字盖章之日起生效，自受托方的合同义务及权利履行完毕之日起终止。</w:t>
      </w:r>
    </w:p>
    <w:p>
      <w:pPr>
        <w:spacing w:line="360" w:lineRule="auto"/>
        <w:ind w:firstLine="480" w:firstLineChars="200"/>
        <w:rPr>
          <w:rFonts w:hint="eastAsia"/>
          <w:sz w:val="24"/>
        </w:rPr>
      </w:pPr>
      <w:r>
        <w:rPr>
          <w:rFonts w:hint="eastAsia"/>
          <w:sz w:val="24"/>
        </w:rPr>
        <w:t>本合同一式贰份，甲方执</w:t>
      </w:r>
      <w:r>
        <w:rPr>
          <w:rFonts w:hint="eastAsia"/>
          <w:sz w:val="24"/>
          <w:lang w:eastAsia="zh-CN"/>
        </w:rPr>
        <w:t>伍</w:t>
      </w:r>
      <w:r>
        <w:rPr>
          <w:rFonts w:hint="eastAsia"/>
          <w:sz w:val="24"/>
        </w:rPr>
        <w:t>份，乙方执壹份，具有同等法律效力。</w:t>
      </w:r>
    </w:p>
    <w:p>
      <w:pPr>
        <w:spacing w:line="360" w:lineRule="auto"/>
        <w:ind w:firstLine="480" w:firstLineChars="200"/>
        <w:rPr>
          <w:sz w:val="24"/>
        </w:rPr>
      </w:pPr>
    </w:p>
    <w:p>
      <w:pPr>
        <w:spacing w:line="360" w:lineRule="auto"/>
        <w:ind w:firstLine="480" w:firstLineChars="200"/>
        <w:rPr>
          <w:rFonts w:hint="eastAsia"/>
          <w:sz w:val="24"/>
        </w:rPr>
      </w:pPr>
    </w:p>
    <w:p>
      <w:pPr>
        <w:spacing w:line="360" w:lineRule="auto"/>
        <w:ind w:firstLine="480" w:firstLineChars="200"/>
        <w:rPr>
          <w:rFonts w:hint="eastAsia"/>
          <w:sz w:val="24"/>
        </w:rPr>
      </w:pPr>
    </w:p>
    <w:tbl>
      <w:tblPr>
        <w:tblStyle w:val="3"/>
        <w:tblW w:w="9229" w:type="dxa"/>
        <w:jc w:val="center"/>
        <w:tblLayout w:type="fixed"/>
        <w:tblCellMar>
          <w:top w:w="0" w:type="dxa"/>
          <w:left w:w="108" w:type="dxa"/>
          <w:bottom w:w="0" w:type="dxa"/>
          <w:right w:w="108" w:type="dxa"/>
        </w:tblCellMar>
      </w:tblPr>
      <w:tblGrid>
        <w:gridCol w:w="5565"/>
        <w:gridCol w:w="3664"/>
      </w:tblGrid>
      <w:tr>
        <w:tblPrEx>
          <w:tblCellMar>
            <w:top w:w="0" w:type="dxa"/>
            <w:left w:w="108" w:type="dxa"/>
            <w:bottom w:w="0" w:type="dxa"/>
            <w:right w:w="108" w:type="dxa"/>
          </w:tblCellMar>
        </w:tblPrEx>
        <w:trPr>
          <w:trHeight w:val="2451" w:hRule="atLeast"/>
          <w:jc w:val="center"/>
        </w:trPr>
        <w:tc>
          <w:tcPr>
            <w:tcW w:w="5565" w:type="dxa"/>
            <w:noWrap w:val="0"/>
            <w:vAlign w:val="top"/>
          </w:tcPr>
          <w:p>
            <w:pPr>
              <w:spacing w:line="360" w:lineRule="auto"/>
              <w:outlineLvl w:val="0"/>
              <w:rPr>
                <w:sz w:val="24"/>
              </w:rPr>
            </w:pPr>
            <w:r>
              <w:rPr>
                <w:rFonts w:hint="eastAsia"/>
                <w:b/>
                <w:bCs/>
                <w:sz w:val="24"/>
              </w:rPr>
              <w:t>甲方(盖章)：</w:t>
            </w:r>
            <w:r>
              <w:rPr>
                <w:rFonts w:hint="eastAsia"/>
                <w:bCs/>
                <w:sz w:val="24"/>
              </w:rPr>
              <w:t>广州市司法局</w:t>
            </w:r>
          </w:p>
          <w:p>
            <w:pPr>
              <w:spacing w:line="360" w:lineRule="auto"/>
              <w:outlineLvl w:val="0"/>
              <w:rPr>
                <w:rFonts w:hint="eastAsia"/>
                <w:sz w:val="24"/>
              </w:rPr>
            </w:pPr>
          </w:p>
          <w:p>
            <w:pPr>
              <w:spacing w:line="360" w:lineRule="auto"/>
              <w:outlineLvl w:val="0"/>
              <w:rPr>
                <w:rFonts w:hint="eastAsia"/>
                <w:sz w:val="24"/>
              </w:rPr>
            </w:pPr>
          </w:p>
          <w:p>
            <w:pPr>
              <w:spacing w:line="360" w:lineRule="auto"/>
              <w:outlineLvl w:val="0"/>
              <w:rPr>
                <w:rFonts w:hint="eastAsia"/>
                <w:sz w:val="24"/>
              </w:rPr>
            </w:pPr>
            <w:r>
              <w:rPr>
                <w:rFonts w:hint="eastAsia"/>
                <w:sz w:val="24"/>
              </w:rPr>
              <w:t>签约代表：</w:t>
            </w:r>
          </w:p>
          <w:p>
            <w:pPr>
              <w:spacing w:line="360" w:lineRule="auto"/>
              <w:outlineLvl w:val="0"/>
              <w:rPr>
                <w:sz w:val="24"/>
              </w:rPr>
            </w:pPr>
            <w:r>
              <w:rPr>
                <w:rFonts w:hint="eastAsia"/>
                <w:sz w:val="24"/>
              </w:rPr>
              <w:t>地址：广州市越秀区连新路19号</w:t>
            </w:r>
          </w:p>
          <w:p>
            <w:pPr>
              <w:spacing w:line="360" w:lineRule="auto"/>
              <w:outlineLvl w:val="0"/>
              <w:rPr>
                <w:rFonts w:hint="eastAsia"/>
                <w:sz w:val="24"/>
              </w:rPr>
            </w:pPr>
            <w:r>
              <w:rPr>
                <w:rFonts w:hint="eastAsia"/>
                <w:sz w:val="24"/>
              </w:rPr>
              <w:t>广州司法局二楼科技处</w:t>
            </w:r>
          </w:p>
          <w:p>
            <w:pPr>
              <w:spacing w:line="360" w:lineRule="auto"/>
              <w:outlineLvl w:val="0"/>
              <w:rPr>
                <w:sz w:val="24"/>
              </w:rPr>
            </w:pPr>
            <w:r>
              <w:rPr>
                <w:rFonts w:hint="eastAsia"/>
                <w:sz w:val="24"/>
              </w:rPr>
              <w:t>电话：0</w:t>
            </w:r>
            <w:r>
              <w:rPr>
                <w:sz w:val="24"/>
              </w:rPr>
              <w:t>20-</w:t>
            </w:r>
            <w:r>
              <w:t xml:space="preserve"> </w:t>
            </w:r>
            <w:r>
              <w:rPr>
                <w:sz w:val="24"/>
              </w:rPr>
              <w:t>83100186</w:t>
            </w:r>
          </w:p>
          <w:p>
            <w:pPr>
              <w:spacing w:line="360" w:lineRule="auto"/>
              <w:outlineLvl w:val="0"/>
              <w:rPr>
                <w:sz w:val="24"/>
              </w:rPr>
            </w:pPr>
            <w:r>
              <w:rPr>
                <w:rFonts w:hint="eastAsia"/>
                <w:sz w:val="24"/>
              </w:rPr>
              <w:t>签约时间：2020年</w:t>
            </w:r>
            <w:r>
              <w:rPr>
                <w:sz w:val="24"/>
              </w:rPr>
              <w:t xml:space="preserve">  </w:t>
            </w:r>
            <w:r>
              <w:rPr>
                <w:rFonts w:hint="eastAsia"/>
                <w:sz w:val="24"/>
              </w:rPr>
              <w:t>月   日</w:t>
            </w:r>
          </w:p>
        </w:tc>
        <w:tc>
          <w:tcPr>
            <w:tcW w:w="3664" w:type="dxa"/>
            <w:noWrap w:val="0"/>
            <w:vAlign w:val="top"/>
          </w:tcPr>
          <w:p>
            <w:pPr>
              <w:spacing w:line="360" w:lineRule="auto"/>
              <w:outlineLvl w:val="0"/>
              <w:rPr>
                <w:sz w:val="24"/>
              </w:rPr>
            </w:pPr>
            <w:r>
              <w:rPr>
                <w:rFonts w:hint="eastAsia"/>
                <w:b/>
                <w:bCs/>
                <w:sz w:val="24"/>
              </w:rPr>
              <w:t>乙方(盖章)：</w:t>
            </w:r>
          </w:p>
          <w:p>
            <w:pPr>
              <w:spacing w:line="360" w:lineRule="auto"/>
              <w:outlineLvl w:val="0"/>
              <w:rPr>
                <w:rFonts w:hint="eastAsia"/>
                <w:sz w:val="24"/>
              </w:rPr>
            </w:pPr>
          </w:p>
          <w:p>
            <w:pPr>
              <w:spacing w:line="360" w:lineRule="auto"/>
              <w:outlineLvl w:val="0"/>
              <w:rPr>
                <w:sz w:val="24"/>
              </w:rPr>
            </w:pPr>
            <w:r>
              <w:rPr>
                <w:rFonts w:hint="eastAsia"/>
                <w:sz w:val="24"/>
              </w:rPr>
              <w:t>签约代表：</w:t>
            </w:r>
          </w:p>
          <w:p>
            <w:pPr>
              <w:spacing w:line="360" w:lineRule="auto"/>
              <w:outlineLvl w:val="0"/>
              <w:rPr>
                <w:rFonts w:hint="eastAsia"/>
                <w:sz w:val="24"/>
              </w:rPr>
            </w:pPr>
            <w:r>
              <w:rPr>
                <w:rFonts w:hint="eastAsia"/>
                <w:sz w:val="24"/>
              </w:rPr>
              <w:t>地址：</w:t>
            </w:r>
          </w:p>
          <w:p>
            <w:pPr>
              <w:spacing w:line="360" w:lineRule="auto"/>
              <w:outlineLvl w:val="0"/>
              <w:rPr>
                <w:kern w:val="0"/>
                <w:sz w:val="24"/>
                <w:szCs w:val="20"/>
              </w:rPr>
            </w:pPr>
            <w:r>
              <w:rPr>
                <w:rFonts w:hint="eastAsia"/>
                <w:sz w:val="24"/>
              </w:rPr>
              <w:t>电话：</w:t>
            </w:r>
          </w:p>
          <w:p>
            <w:pPr>
              <w:spacing w:line="360" w:lineRule="auto"/>
              <w:outlineLvl w:val="0"/>
              <w:rPr>
                <w:sz w:val="24"/>
              </w:rPr>
            </w:pPr>
            <w:r>
              <w:rPr>
                <w:rFonts w:hint="eastAsia"/>
                <w:sz w:val="24"/>
              </w:rPr>
              <w:t>签约时间：2020年</w:t>
            </w:r>
            <w:r>
              <w:rPr>
                <w:sz w:val="24"/>
              </w:rPr>
              <w:t xml:space="preserve">  </w:t>
            </w:r>
            <w:r>
              <w:rPr>
                <w:rFonts w:hint="eastAsia"/>
                <w:sz w:val="24"/>
              </w:rPr>
              <w:t>月   日</w:t>
            </w:r>
          </w:p>
        </w:tc>
      </w:tr>
    </w:tbl>
    <w:p>
      <w:pPr>
        <w:widowControl/>
        <w:shd w:val="clear" w:color="auto" w:fill="FFFFFF"/>
        <w:spacing w:line="480" w:lineRule="atLeast"/>
        <w:ind w:firstLine="1200" w:firstLineChars="500"/>
        <w:jc w:val="left"/>
        <w:rPr>
          <w:rFonts w:hint="eastAsia" w:ascii="仿宋" w:hAnsi="仿宋" w:eastAsia="仿宋" w:cs="宋体"/>
          <w:color w:val="333333"/>
          <w:kern w:val="0"/>
          <w:sz w:val="24"/>
          <w:szCs w:val="24"/>
        </w:rPr>
      </w:pPr>
    </w:p>
    <w:p/>
    <w:sectPr>
      <w:pgSz w:w="11906" w:h="16838"/>
      <w:pgMar w:top="1440" w:right="1797" w:bottom="1304" w:left="179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683"/>
    <w:multiLevelType w:val="multilevel"/>
    <w:tmpl w:val="02437683"/>
    <w:lvl w:ilvl="0" w:tentative="0">
      <w:start w:val="1"/>
      <w:numFmt w:val="decimal"/>
      <w:lvlText w:val="（%1）"/>
      <w:lvlJc w:val="left"/>
      <w:pPr>
        <w:tabs>
          <w:tab w:val="left" w:pos="1440"/>
        </w:tabs>
        <w:ind w:left="1440" w:hanging="720"/>
      </w:pPr>
      <w:rPr>
        <w:rFonts w:hint="default"/>
      </w:rPr>
    </w:lvl>
    <w:lvl w:ilvl="1" w:tentative="0">
      <w:start w:val="1"/>
      <w:numFmt w:val="lowerLetter"/>
      <w:lvlText w:val="%2)"/>
      <w:lvlJc w:val="left"/>
      <w:pPr>
        <w:tabs>
          <w:tab w:val="left" w:pos="1560"/>
        </w:tabs>
        <w:ind w:left="1560" w:hanging="420"/>
      </w:pPr>
    </w:lvl>
    <w:lvl w:ilvl="2" w:tentative="0">
      <w:start w:val="1"/>
      <w:numFmt w:val="lowerRoman"/>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1">
    <w:nsid w:val="0B253052"/>
    <w:multiLevelType w:val="multilevel"/>
    <w:tmpl w:val="0B253052"/>
    <w:lvl w:ilvl="0" w:tentative="0">
      <w:start w:val="1"/>
      <w:numFmt w:val="decimal"/>
      <w:lvlText w:val="（%1）"/>
      <w:lvlJc w:val="left"/>
      <w:pPr>
        <w:tabs>
          <w:tab w:val="left" w:pos="1440"/>
        </w:tabs>
        <w:ind w:left="1440" w:hanging="720"/>
      </w:pPr>
      <w:rPr>
        <w:rFonts w:hint="default"/>
      </w:rPr>
    </w:lvl>
    <w:lvl w:ilvl="1" w:tentative="0">
      <w:start w:val="1"/>
      <w:numFmt w:val="decimal"/>
      <w:lvlText w:val="%2."/>
      <w:lvlJc w:val="left"/>
      <w:pPr>
        <w:tabs>
          <w:tab w:val="left" w:pos="1500"/>
        </w:tabs>
        <w:ind w:left="1500" w:hanging="360"/>
      </w:pPr>
      <w:rPr>
        <w:rFonts w:hint="eastAsia"/>
      </w:rPr>
    </w:lvl>
    <w:lvl w:ilvl="2" w:tentative="0">
      <w:start w:val="1"/>
      <w:numFmt w:val="decimal"/>
      <w:lvlText w:val="%3、"/>
      <w:lvlJc w:val="left"/>
      <w:pPr>
        <w:tabs>
          <w:tab w:val="left" w:pos="1920"/>
        </w:tabs>
        <w:ind w:left="1920" w:hanging="360"/>
      </w:pPr>
      <w:rPr>
        <w:rFonts w:hint="eastAsia"/>
        <w:sz w:val="24"/>
      </w:r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2">
    <w:nsid w:val="19406469"/>
    <w:multiLevelType w:val="multilevel"/>
    <w:tmpl w:val="19406469"/>
    <w:lvl w:ilvl="0" w:tentative="0">
      <w:start w:val="2"/>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3EBA19A5"/>
    <w:multiLevelType w:val="multilevel"/>
    <w:tmpl w:val="3EBA19A5"/>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730A0E4F"/>
    <w:multiLevelType w:val="multilevel"/>
    <w:tmpl w:val="730A0E4F"/>
    <w:lvl w:ilvl="0" w:tentative="0">
      <w:start w:val="1"/>
      <w:numFmt w:val="decimal"/>
      <w:lvlText w:val="%1."/>
      <w:lvlJc w:val="left"/>
      <w:pPr>
        <w:tabs>
          <w:tab w:val="left" w:pos="840"/>
        </w:tabs>
        <w:ind w:left="840" w:hanging="420"/>
      </w:pPr>
    </w:lvl>
    <w:lvl w:ilvl="1" w:tentative="0">
      <w:start w:val="1"/>
      <w:numFmt w:val="japaneseCounting"/>
      <w:lvlText w:val="%2、"/>
      <w:lvlJc w:val="left"/>
      <w:pPr>
        <w:tabs>
          <w:tab w:val="left" w:pos="1560"/>
        </w:tabs>
        <w:ind w:left="1560" w:hanging="72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A2216"/>
    <w:rsid w:val="7E3A2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uiPriority w:val="0"/>
    <w:pPr>
      <w:ind w:firstLine="540"/>
    </w:pPr>
    <w:rPr>
      <w:sz w:val="24"/>
      <w:szCs w:val="20"/>
    </w:rPr>
  </w:style>
  <w:style w:type="paragraph" w:customStyle="1" w:styleId="5">
    <w:name w:val="缺省文本"/>
    <w:basedOn w:val="1"/>
    <w:uiPriority w:val="0"/>
    <w:pPr>
      <w:autoSpaceDE w:val="0"/>
      <w:autoSpaceDN w:val="0"/>
      <w:adjustRightInd w:val="0"/>
      <w:jc w:val="left"/>
    </w:pPr>
    <w:rPr>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2020-09-14T07:50:00Z</dcterms:created>
  <dc:creator>大力水手</dc:creator>
  <cp:lastModifiedBy>大力水手</cp:lastModifiedBy>
  <dcterms:modified xsi:type="dcterms:W3CDTF">2020-09-14T07:56:01Z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