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1"/>
        <w:rPr>
          <w:b/>
          <w:sz w:val="32"/>
        </w:rPr>
      </w:pPr>
      <w:r>
        <w:rPr>
          <w:b/>
          <w:sz w:val="32"/>
        </w:rPr>
        <w:t>附件</w:t>
      </w:r>
      <w:r>
        <w:rPr>
          <w:rFonts w:hint="eastAsia"/>
          <w:b/>
          <w:sz w:val="32"/>
        </w:rPr>
        <w:t>三：</w:t>
      </w:r>
      <w:bookmarkStart w:id="5" w:name="_GoBack"/>
      <w:r>
        <w:rPr>
          <w:rFonts w:hint="eastAsia"/>
          <w:b/>
          <w:sz w:val="32"/>
        </w:rPr>
        <w:t>合同主要条款</w:t>
      </w:r>
      <w:bookmarkEnd w:id="5"/>
    </w:p>
    <w:p>
      <w:pPr>
        <w:wordWrap w:val="0"/>
        <w:jc w:val="right"/>
        <w:rPr>
          <w:rFonts w:ascii="仿宋_GB2312" w:hAnsi="仿宋_GB2312" w:eastAsia="仿宋_GB2312"/>
          <w:sz w:val="32"/>
        </w:rPr>
      </w:pPr>
      <w:r>
        <w:rPr>
          <w:rFonts w:hint="eastAsia" w:ascii="宋体" w:hAnsi="宋体"/>
          <w:color w:val="000000"/>
          <w:sz w:val="24"/>
        </w:rPr>
        <w:t>合</w:t>
      </w:r>
      <w:r>
        <w:rPr>
          <w:rFonts w:hint="eastAsia" w:ascii="宋体" w:hAnsi="宋体"/>
          <w:sz w:val="24"/>
        </w:rPr>
        <w:t>同编号：</w:t>
      </w:r>
      <w:r>
        <w:rPr>
          <w:rFonts w:hint="eastAsia" w:ascii="宋体" w:hAnsi="宋体"/>
          <w:sz w:val="24"/>
          <w:u w:val="single"/>
        </w:rPr>
        <w:t xml:space="preserve">             </w:t>
      </w:r>
    </w:p>
    <w:p>
      <w:pPr>
        <w:jc w:val="center"/>
        <w:rPr>
          <w:color w:val="FF0000"/>
          <w:sz w:val="52"/>
        </w:rPr>
      </w:pPr>
    </w:p>
    <w:p>
      <w:pPr>
        <w:jc w:val="center"/>
        <w:rPr>
          <w:sz w:val="52"/>
        </w:rPr>
      </w:pPr>
    </w:p>
    <w:p>
      <w:pPr>
        <w:jc w:val="center"/>
        <w:rPr>
          <w:sz w:val="52"/>
        </w:rPr>
      </w:pPr>
    </w:p>
    <w:p>
      <w:pPr>
        <w:jc w:val="center"/>
        <w:rPr>
          <w:sz w:val="52"/>
        </w:rPr>
      </w:pPr>
    </w:p>
    <w:p>
      <w:pPr>
        <w:pStyle w:val="4"/>
        <w:jc w:val="center"/>
        <w:rPr>
          <w:rFonts w:hint="eastAsia" w:ascii="方正小标宋简体" w:eastAsia="方正小标宋简体"/>
          <w:bCs/>
          <w:spacing w:val="-4"/>
          <w:sz w:val="52"/>
          <w:szCs w:val="30"/>
        </w:rPr>
      </w:pPr>
      <w:r>
        <w:rPr>
          <w:rFonts w:hint="eastAsia" w:ascii="方正小标宋简体" w:eastAsia="方正小标宋简体"/>
          <w:bCs/>
          <w:spacing w:val="-4"/>
          <w:sz w:val="52"/>
          <w:szCs w:val="30"/>
        </w:rPr>
        <w:t>广州市司法局问律师法治宣传全媒体建设项目</w:t>
      </w:r>
    </w:p>
    <w:p>
      <w:pPr>
        <w:pStyle w:val="4"/>
        <w:jc w:val="center"/>
        <w:rPr>
          <w:rFonts w:ascii="方正小标宋简体" w:eastAsia="方正小标宋简体"/>
          <w:bCs/>
          <w:spacing w:val="-4"/>
          <w:sz w:val="52"/>
          <w:szCs w:val="30"/>
        </w:rPr>
      </w:pPr>
      <w:r>
        <w:rPr>
          <w:rFonts w:hint="eastAsia" w:ascii="方正小标宋简体" w:eastAsia="方正小标宋简体"/>
          <w:bCs/>
          <w:spacing w:val="-4"/>
          <w:sz w:val="52"/>
          <w:szCs w:val="30"/>
        </w:rPr>
        <w:t>采 购 合 同</w:t>
      </w:r>
    </w:p>
    <w:p>
      <w:pPr>
        <w:pStyle w:val="3"/>
        <w:tabs>
          <w:tab w:val="left" w:pos="3465"/>
        </w:tabs>
        <w:spacing w:before="100" w:beforeAutospacing="1" w:after="100" w:afterAutospacing="1" w:line="340" w:lineRule="exact"/>
        <w:ind w:firstLine="1687" w:firstLineChars="600"/>
        <w:rPr>
          <w:rFonts w:hAnsi="宋体"/>
          <w:b/>
          <w:bCs/>
          <w:color w:val="000000"/>
          <w:sz w:val="28"/>
        </w:rPr>
      </w:pPr>
      <w:r>
        <w:rPr>
          <w:rFonts w:hAnsi="宋体"/>
          <w:b/>
          <w:bCs/>
          <w:color w:val="000000"/>
          <w:sz w:val="28"/>
        </w:rPr>
        <w:tab/>
      </w:r>
    </w:p>
    <w:p>
      <w:pPr>
        <w:pStyle w:val="3"/>
        <w:tabs>
          <w:tab w:val="left" w:pos="3465"/>
        </w:tabs>
        <w:spacing w:before="100" w:beforeAutospacing="1" w:after="100" w:afterAutospacing="1" w:line="340" w:lineRule="exact"/>
        <w:ind w:firstLine="1687" w:firstLineChars="600"/>
        <w:rPr>
          <w:rFonts w:hAnsi="宋体"/>
          <w:b/>
          <w:bCs/>
          <w:color w:val="000000"/>
          <w:sz w:val="28"/>
        </w:rPr>
      </w:pPr>
    </w:p>
    <w:p>
      <w:pPr>
        <w:pStyle w:val="3"/>
        <w:tabs>
          <w:tab w:val="left" w:pos="3465"/>
        </w:tabs>
        <w:spacing w:before="100" w:beforeAutospacing="1" w:after="100" w:afterAutospacing="1" w:line="340" w:lineRule="exact"/>
        <w:ind w:firstLine="1687" w:firstLineChars="600"/>
        <w:rPr>
          <w:rFonts w:hAnsi="宋体"/>
          <w:b/>
          <w:bCs/>
          <w:color w:val="000000"/>
          <w:sz w:val="28"/>
        </w:rPr>
      </w:pPr>
    </w:p>
    <w:p>
      <w:pPr>
        <w:pStyle w:val="3"/>
        <w:tabs>
          <w:tab w:val="left" w:pos="3465"/>
        </w:tabs>
        <w:spacing w:before="100" w:beforeAutospacing="1" w:after="100" w:afterAutospacing="1" w:line="340" w:lineRule="exact"/>
        <w:ind w:firstLine="1687" w:firstLineChars="600"/>
        <w:rPr>
          <w:rFonts w:hAnsi="宋体"/>
          <w:b/>
          <w:bCs/>
          <w:color w:val="000000"/>
          <w:sz w:val="28"/>
        </w:rPr>
      </w:pPr>
    </w:p>
    <w:p>
      <w:pPr>
        <w:pStyle w:val="3"/>
        <w:spacing w:before="100" w:beforeAutospacing="1" w:after="100" w:afterAutospacing="1" w:line="340" w:lineRule="exact"/>
        <w:ind w:firstLine="1687" w:firstLineChars="600"/>
        <w:rPr>
          <w:rFonts w:hAnsi="宋体"/>
          <w:b/>
          <w:bCs/>
          <w:color w:val="000000"/>
          <w:sz w:val="28"/>
        </w:rPr>
      </w:pPr>
    </w:p>
    <w:p>
      <w:pPr>
        <w:ind w:firstLine="1120" w:firstLineChars="350"/>
        <w:jc w:val="left"/>
        <w:rPr>
          <w:rFonts w:ascii="仿宋_GB2312" w:hAnsi="仿宋_GB2312" w:eastAsia="仿宋_GB2312"/>
          <w:sz w:val="32"/>
        </w:rPr>
      </w:pPr>
      <w:r>
        <w:rPr>
          <w:rFonts w:hint="eastAsia" w:ascii="仿宋_GB2312" w:hAnsi="仿宋_GB2312" w:eastAsia="仿宋_GB2312"/>
          <w:sz w:val="32"/>
        </w:rPr>
        <w:t>甲方：</w:t>
      </w:r>
      <w:r>
        <w:rPr>
          <w:rFonts w:hint="eastAsia" w:ascii="仿宋_GB2312" w:hAnsi="仿宋_GB2312" w:eastAsia="仿宋_GB2312"/>
          <w:sz w:val="32"/>
          <w:u w:val="single"/>
        </w:rPr>
        <w:t xml:space="preserve">                                  </w:t>
      </w:r>
    </w:p>
    <w:p>
      <w:pPr>
        <w:pStyle w:val="3"/>
        <w:spacing w:line="340" w:lineRule="exact"/>
        <w:ind w:firstLine="1422" w:firstLineChars="506"/>
        <w:rPr>
          <w:rFonts w:hAnsi="宋体"/>
          <w:b/>
          <w:bCs/>
          <w:sz w:val="28"/>
        </w:rPr>
      </w:pPr>
    </w:p>
    <w:p>
      <w:pPr>
        <w:pStyle w:val="3"/>
        <w:spacing w:line="340" w:lineRule="exact"/>
        <w:ind w:firstLine="1120" w:firstLineChars="350"/>
        <w:jc w:val="left"/>
        <w:rPr>
          <w:rFonts w:ascii="仿宋_GB2312" w:hAnsi="仿宋_GB2312" w:eastAsia="仿宋_GB2312"/>
          <w:sz w:val="32"/>
          <w:szCs w:val="30"/>
          <w:u w:val="single"/>
        </w:rPr>
      </w:pPr>
      <w:r>
        <w:rPr>
          <w:rFonts w:hint="eastAsia" w:ascii="仿宋_GB2312" w:hAnsi="仿宋_GB2312" w:eastAsia="仿宋_GB2312"/>
          <w:sz w:val="32"/>
          <w:szCs w:val="30"/>
        </w:rPr>
        <w:t>乙方：</w:t>
      </w:r>
      <w:r>
        <w:rPr>
          <w:rFonts w:hint="eastAsia" w:ascii="仿宋_GB2312" w:hAnsi="仿宋_GB2312" w:eastAsia="仿宋_GB2312"/>
          <w:sz w:val="32"/>
          <w:szCs w:val="30"/>
          <w:u w:val="single"/>
        </w:rPr>
        <w:t xml:space="preserve">     </w:t>
      </w:r>
      <w:r>
        <w:rPr>
          <w:rFonts w:hint="eastAsia" w:ascii="仿宋_GB2312" w:hAnsi="仿宋_GB2312" w:eastAsia="仿宋_GB2312"/>
          <w:bCs/>
          <w:sz w:val="32"/>
          <w:szCs w:val="30"/>
          <w:u w:val="single"/>
        </w:rPr>
        <w:t xml:space="preserve">                            </w:t>
      </w:r>
      <w:r>
        <w:rPr>
          <w:rFonts w:hint="eastAsia" w:ascii="仿宋_GB2312" w:hAnsi="仿宋_GB2312" w:eastAsia="仿宋_GB2312"/>
          <w:sz w:val="32"/>
          <w:szCs w:val="30"/>
          <w:u w:val="single"/>
        </w:rPr>
        <w:t xml:space="preserve"> </w:t>
      </w:r>
    </w:p>
    <w:p>
      <w:pPr>
        <w:jc w:val="center"/>
        <w:rPr>
          <w:rFonts w:ascii="仿宋_GB2312" w:hAnsi="仿宋_GB2312" w:eastAsia="仿宋_GB2312"/>
          <w:b/>
          <w:sz w:val="32"/>
        </w:rPr>
      </w:pPr>
    </w:p>
    <w:p>
      <w:pPr>
        <w:jc w:val="center"/>
        <w:rPr>
          <w:rFonts w:ascii="仿宋_GB2312" w:hAnsi="仿宋_GB2312" w:eastAsia="仿宋_GB2312"/>
          <w:b/>
          <w:sz w:val="32"/>
        </w:rPr>
      </w:pPr>
    </w:p>
    <w:p>
      <w:pPr>
        <w:jc w:val="center"/>
        <w:rPr>
          <w:rFonts w:ascii="仿宋_GB2312" w:hAnsi="仿宋_GB2312" w:eastAsia="仿宋_GB2312"/>
          <w:b/>
          <w:sz w:val="32"/>
        </w:rPr>
      </w:pPr>
    </w:p>
    <w:p>
      <w:pPr>
        <w:jc w:val="center"/>
        <w:rPr>
          <w:rFonts w:ascii="仿宋_GB2312" w:hAnsi="仿宋_GB2312" w:eastAsia="仿宋_GB2312"/>
          <w:b/>
          <w:sz w:val="32"/>
        </w:rPr>
      </w:pPr>
      <w:r>
        <w:rPr>
          <w:rFonts w:hint="eastAsia" w:ascii="仿宋_GB2312" w:hAnsi="仿宋_GB2312" w:eastAsia="仿宋_GB2312"/>
          <w:b/>
          <w:sz w:val="32"/>
        </w:rPr>
        <w:t>2020</w:t>
      </w:r>
      <w:r>
        <w:rPr>
          <w:rFonts w:hint="eastAsia" w:ascii="仿宋_GB2312" w:hAnsi="仿宋_GB2312" w:eastAsia="仿宋_GB2312" w:cs="仿宋_GB2312"/>
          <w:b/>
          <w:sz w:val="32"/>
        </w:rPr>
        <w:t>年</w:t>
      </w:r>
      <w:r>
        <w:rPr>
          <w:rFonts w:hint="eastAsia" w:ascii="仿宋_GB2312" w:hAnsi="仿宋_GB2312" w:eastAsia="仿宋_GB2312"/>
          <w:b/>
          <w:sz w:val="32"/>
        </w:rPr>
        <w:t>8月</w:t>
      </w:r>
    </w:p>
    <w:p>
      <w:pPr>
        <w:jc w:val="center"/>
        <w:rPr>
          <w:rFonts w:ascii="仿宋_GB2312" w:hAnsi="仿宋_GB2312" w:eastAsia="仿宋_GB2312"/>
          <w:b/>
          <w:sz w:val="32"/>
        </w:rPr>
      </w:pPr>
    </w:p>
    <w:p>
      <w:pPr>
        <w:ind w:firstLine="888" w:firstLineChars="202"/>
        <w:jc w:val="center"/>
        <w:rPr>
          <w:rFonts w:ascii="黑体" w:hAnsi="黑体" w:eastAsia="黑体"/>
          <w:sz w:val="44"/>
          <w:szCs w:val="44"/>
        </w:rPr>
      </w:pPr>
      <w:r>
        <w:rPr>
          <w:rFonts w:hint="eastAsia" w:ascii="黑体" w:hAnsi="黑体" w:eastAsia="黑体"/>
          <w:sz w:val="44"/>
          <w:szCs w:val="44"/>
        </w:rPr>
        <w:t>广州市司法局问律师法治宣传全媒体建设项目合同</w:t>
      </w:r>
    </w:p>
    <w:p>
      <w:pPr>
        <w:jc w:val="center"/>
        <w:rPr>
          <w:szCs w:val="22"/>
        </w:rPr>
      </w:pPr>
    </w:p>
    <w:p>
      <w:pPr>
        <w:pStyle w:val="2"/>
        <w:spacing w:line="400" w:lineRule="exact"/>
        <w:ind w:firstLine="440" w:firstLineChars="200"/>
        <w:rPr>
          <w:b/>
          <w:color w:val="000000"/>
        </w:rPr>
      </w:pPr>
      <w:r>
        <w:rPr>
          <w:color w:val="000000"/>
        </w:rPr>
        <w:t>根据《合同法》及有关法律法规的规定，甲乙双方就</w:t>
      </w:r>
      <w:r>
        <w:rPr>
          <w:rFonts w:hint="eastAsia"/>
          <w:color w:val="000000"/>
        </w:rPr>
        <w:t>广州市司法局问律师法治宣传全媒体建设项目</w:t>
      </w:r>
      <w:r>
        <w:rPr>
          <w:color w:val="000000"/>
        </w:rPr>
        <w:t>经过谈判及友好协商，遵循自愿、平等、公平和诚实信用的原则订立本合同，双方共同遵守合同约定。</w:t>
      </w:r>
    </w:p>
    <w:p>
      <w:pPr>
        <w:pStyle w:val="2"/>
        <w:spacing w:line="400" w:lineRule="exact"/>
        <w:ind w:firstLine="497" w:firstLineChars="225"/>
        <w:rPr>
          <w:b/>
          <w:color w:val="000000"/>
        </w:rPr>
      </w:pPr>
      <w:r>
        <w:rPr>
          <w:rFonts w:hint="eastAsia"/>
          <w:b/>
          <w:color w:val="000000"/>
        </w:rPr>
        <w:t>一、</w:t>
      </w:r>
      <w:r>
        <w:rPr>
          <w:rFonts w:ascii="Times New Roman" w:hAnsi="Arial Unicode MS"/>
          <w:b/>
          <w:color w:val="000000"/>
          <w:szCs w:val="24"/>
        </w:rPr>
        <w:t>采购内容、成交金额</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89"/>
        <w:gridCol w:w="2541"/>
        <w:gridCol w:w="1083"/>
        <w:gridCol w:w="1277"/>
        <w:gridCol w:w="1816"/>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pct"/>
            <w:noWrap w:val="0"/>
            <w:vAlign w:val="center"/>
          </w:tcPr>
          <w:p>
            <w:pPr>
              <w:adjustRightInd w:val="0"/>
              <w:snapToGrid w:val="0"/>
              <w:jc w:val="center"/>
              <w:rPr>
                <w:rFonts w:eastAsia="仿宋_GB2312"/>
                <w:bCs/>
                <w:szCs w:val="21"/>
              </w:rPr>
            </w:pPr>
            <w:r>
              <w:rPr>
                <w:rFonts w:hint="eastAsia" w:eastAsia="仿宋_GB2312"/>
                <w:bCs/>
                <w:szCs w:val="21"/>
              </w:rPr>
              <w:t>序号</w:t>
            </w:r>
          </w:p>
        </w:tc>
        <w:tc>
          <w:tcPr>
            <w:tcW w:w="1542" w:type="pct"/>
            <w:gridSpan w:val="2"/>
            <w:noWrap w:val="0"/>
            <w:vAlign w:val="center"/>
          </w:tcPr>
          <w:p>
            <w:pPr>
              <w:adjustRightInd w:val="0"/>
              <w:snapToGrid w:val="0"/>
              <w:jc w:val="center"/>
              <w:rPr>
                <w:rFonts w:eastAsia="仿宋_GB2312"/>
                <w:bCs/>
                <w:szCs w:val="21"/>
              </w:rPr>
            </w:pPr>
            <w:r>
              <w:rPr>
                <w:rFonts w:hint="eastAsia" w:eastAsia="仿宋_GB2312"/>
                <w:bCs/>
                <w:szCs w:val="21"/>
              </w:rPr>
              <w:t>服务内容</w:t>
            </w:r>
          </w:p>
        </w:tc>
        <w:tc>
          <w:tcPr>
            <w:tcW w:w="635" w:type="pct"/>
            <w:noWrap w:val="0"/>
            <w:vAlign w:val="center"/>
          </w:tcPr>
          <w:p>
            <w:pPr>
              <w:adjustRightInd w:val="0"/>
              <w:snapToGrid w:val="0"/>
              <w:jc w:val="center"/>
              <w:rPr>
                <w:rFonts w:eastAsia="仿宋_GB2312"/>
                <w:bCs/>
                <w:szCs w:val="21"/>
              </w:rPr>
            </w:pPr>
            <w:r>
              <w:rPr>
                <w:rFonts w:hint="eastAsia" w:eastAsia="仿宋_GB2312"/>
                <w:bCs/>
                <w:szCs w:val="21"/>
              </w:rPr>
              <w:t>数量</w:t>
            </w:r>
          </w:p>
        </w:tc>
        <w:tc>
          <w:tcPr>
            <w:tcW w:w="749" w:type="pct"/>
            <w:noWrap w:val="0"/>
            <w:vAlign w:val="center"/>
          </w:tcPr>
          <w:p>
            <w:pPr>
              <w:adjustRightInd w:val="0"/>
              <w:snapToGrid w:val="0"/>
              <w:jc w:val="center"/>
              <w:rPr>
                <w:rFonts w:eastAsia="仿宋_GB2312"/>
                <w:bCs/>
                <w:szCs w:val="21"/>
              </w:rPr>
            </w:pPr>
            <w:r>
              <w:rPr>
                <w:rFonts w:hint="eastAsia" w:eastAsia="仿宋_GB2312"/>
                <w:bCs/>
                <w:szCs w:val="21"/>
              </w:rPr>
              <w:t>单价（元）</w:t>
            </w:r>
          </w:p>
        </w:tc>
        <w:tc>
          <w:tcPr>
            <w:tcW w:w="1065" w:type="pct"/>
            <w:noWrap w:val="0"/>
            <w:vAlign w:val="center"/>
          </w:tcPr>
          <w:p>
            <w:pPr>
              <w:adjustRightInd w:val="0"/>
              <w:snapToGrid w:val="0"/>
              <w:jc w:val="center"/>
              <w:rPr>
                <w:rFonts w:eastAsia="仿宋_GB2312"/>
                <w:bCs/>
                <w:szCs w:val="21"/>
              </w:rPr>
            </w:pPr>
            <w:r>
              <w:rPr>
                <w:rFonts w:hint="eastAsia" w:eastAsia="仿宋_GB2312"/>
                <w:bCs/>
                <w:szCs w:val="21"/>
              </w:rPr>
              <w:t>小计金额（元）</w:t>
            </w:r>
          </w:p>
        </w:tc>
        <w:tc>
          <w:tcPr>
            <w:tcW w:w="576" w:type="pct"/>
            <w:noWrap w:val="0"/>
            <w:vAlign w:val="center"/>
          </w:tcPr>
          <w:p>
            <w:pPr>
              <w:adjustRightInd w:val="0"/>
              <w:snapToGrid w:val="0"/>
              <w:jc w:val="center"/>
              <w:rPr>
                <w:rFonts w:eastAsia="仿宋_GB2312"/>
                <w:bCs/>
                <w:szCs w:val="21"/>
              </w:rPr>
            </w:pPr>
            <w:r>
              <w:rPr>
                <w:rFonts w:hint="eastAsia" w:eastAsia="仿宋_GB2312"/>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pct"/>
            <w:noWrap w:val="0"/>
            <w:vAlign w:val="center"/>
          </w:tcPr>
          <w:p>
            <w:pPr>
              <w:adjustRightInd w:val="0"/>
              <w:snapToGrid w:val="0"/>
              <w:jc w:val="center"/>
              <w:rPr>
                <w:rFonts w:eastAsia="仿宋_GB2312"/>
                <w:bCs/>
                <w:szCs w:val="21"/>
              </w:rPr>
            </w:pPr>
            <w:r>
              <w:rPr>
                <w:rFonts w:hint="eastAsia" w:eastAsia="仿宋_GB2312"/>
                <w:bCs/>
                <w:szCs w:val="21"/>
              </w:rPr>
              <w:t>1</w:t>
            </w:r>
          </w:p>
        </w:tc>
        <w:tc>
          <w:tcPr>
            <w:tcW w:w="1542" w:type="pct"/>
            <w:gridSpan w:val="2"/>
            <w:noWrap w:val="0"/>
            <w:vAlign w:val="center"/>
          </w:tcPr>
          <w:p>
            <w:pPr>
              <w:adjustRightInd w:val="0"/>
              <w:snapToGrid w:val="0"/>
              <w:jc w:val="center"/>
              <w:rPr>
                <w:rFonts w:eastAsia="仿宋_GB2312"/>
                <w:bCs/>
                <w:szCs w:val="21"/>
              </w:rPr>
            </w:pPr>
          </w:p>
        </w:tc>
        <w:tc>
          <w:tcPr>
            <w:tcW w:w="635" w:type="pct"/>
            <w:noWrap w:val="0"/>
            <w:vAlign w:val="center"/>
          </w:tcPr>
          <w:p>
            <w:pPr>
              <w:adjustRightInd w:val="0"/>
              <w:snapToGrid w:val="0"/>
              <w:jc w:val="center"/>
              <w:rPr>
                <w:rFonts w:eastAsia="仿宋_GB2312"/>
                <w:bCs/>
                <w:szCs w:val="21"/>
              </w:rPr>
            </w:pPr>
          </w:p>
        </w:tc>
        <w:tc>
          <w:tcPr>
            <w:tcW w:w="749" w:type="pct"/>
            <w:noWrap w:val="0"/>
            <w:vAlign w:val="center"/>
          </w:tcPr>
          <w:p>
            <w:pPr>
              <w:adjustRightInd w:val="0"/>
              <w:snapToGrid w:val="0"/>
              <w:jc w:val="center"/>
              <w:rPr>
                <w:rFonts w:eastAsia="仿宋_GB2312"/>
                <w:bCs/>
                <w:szCs w:val="21"/>
              </w:rPr>
            </w:pPr>
          </w:p>
        </w:tc>
        <w:tc>
          <w:tcPr>
            <w:tcW w:w="1065" w:type="pct"/>
            <w:noWrap w:val="0"/>
            <w:vAlign w:val="center"/>
          </w:tcPr>
          <w:p>
            <w:pPr>
              <w:adjustRightInd w:val="0"/>
              <w:snapToGrid w:val="0"/>
              <w:jc w:val="center"/>
              <w:rPr>
                <w:rFonts w:eastAsia="仿宋_GB2312"/>
                <w:bCs/>
                <w:szCs w:val="21"/>
              </w:rPr>
            </w:pPr>
          </w:p>
        </w:tc>
        <w:tc>
          <w:tcPr>
            <w:tcW w:w="576" w:type="pct"/>
            <w:noWrap w:val="0"/>
            <w:vAlign w:val="center"/>
          </w:tcPr>
          <w:p>
            <w:pPr>
              <w:adjustRightInd w:val="0"/>
              <w:snapToGrid w:val="0"/>
              <w:jc w:val="center"/>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pct"/>
            <w:noWrap w:val="0"/>
            <w:vAlign w:val="center"/>
          </w:tcPr>
          <w:p>
            <w:pPr>
              <w:adjustRightInd w:val="0"/>
              <w:snapToGrid w:val="0"/>
              <w:jc w:val="center"/>
              <w:rPr>
                <w:rFonts w:eastAsia="仿宋_GB2312"/>
                <w:bCs/>
                <w:szCs w:val="21"/>
              </w:rPr>
            </w:pPr>
            <w:r>
              <w:rPr>
                <w:rFonts w:hint="eastAsia" w:eastAsia="仿宋_GB2312"/>
                <w:bCs/>
                <w:szCs w:val="21"/>
              </w:rPr>
              <w:t>2</w:t>
            </w:r>
          </w:p>
        </w:tc>
        <w:tc>
          <w:tcPr>
            <w:tcW w:w="1542" w:type="pct"/>
            <w:gridSpan w:val="2"/>
            <w:noWrap w:val="0"/>
            <w:vAlign w:val="center"/>
          </w:tcPr>
          <w:p>
            <w:pPr>
              <w:adjustRightInd w:val="0"/>
              <w:snapToGrid w:val="0"/>
              <w:jc w:val="center"/>
              <w:rPr>
                <w:rFonts w:eastAsia="仿宋_GB2312"/>
                <w:bCs/>
                <w:szCs w:val="21"/>
              </w:rPr>
            </w:pPr>
          </w:p>
        </w:tc>
        <w:tc>
          <w:tcPr>
            <w:tcW w:w="635" w:type="pct"/>
            <w:noWrap w:val="0"/>
            <w:vAlign w:val="center"/>
          </w:tcPr>
          <w:p>
            <w:pPr>
              <w:adjustRightInd w:val="0"/>
              <w:snapToGrid w:val="0"/>
              <w:jc w:val="center"/>
              <w:rPr>
                <w:rFonts w:eastAsia="仿宋_GB2312"/>
                <w:bCs/>
                <w:szCs w:val="21"/>
              </w:rPr>
            </w:pPr>
          </w:p>
        </w:tc>
        <w:tc>
          <w:tcPr>
            <w:tcW w:w="749" w:type="pct"/>
            <w:noWrap w:val="0"/>
            <w:vAlign w:val="center"/>
          </w:tcPr>
          <w:p>
            <w:pPr>
              <w:adjustRightInd w:val="0"/>
              <w:snapToGrid w:val="0"/>
              <w:jc w:val="center"/>
              <w:rPr>
                <w:rFonts w:eastAsia="仿宋_GB2312"/>
                <w:bCs/>
                <w:szCs w:val="21"/>
              </w:rPr>
            </w:pPr>
          </w:p>
        </w:tc>
        <w:tc>
          <w:tcPr>
            <w:tcW w:w="1065" w:type="pct"/>
            <w:noWrap w:val="0"/>
            <w:vAlign w:val="center"/>
          </w:tcPr>
          <w:p>
            <w:pPr>
              <w:adjustRightInd w:val="0"/>
              <w:snapToGrid w:val="0"/>
              <w:jc w:val="center"/>
              <w:rPr>
                <w:rFonts w:eastAsia="仿宋_GB2312"/>
                <w:bCs/>
                <w:szCs w:val="21"/>
              </w:rPr>
            </w:pPr>
          </w:p>
        </w:tc>
        <w:tc>
          <w:tcPr>
            <w:tcW w:w="576" w:type="pct"/>
            <w:noWrap w:val="0"/>
            <w:vAlign w:val="center"/>
          </w:tcPr>
          <w:p>
            <w:pPr>
              <w:adjustRightInd w:val="0"/>
              <w:snapToGrid w:val="0"/>
              <w:jc w:val="center"/>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4" w:type="pct"/>
            <w:noWrap w:val="0"/>
            <w:vAlign w:val="center"/>
          </w:tcPr>
          <w:p>
            <w:pPr>
              <w:adjustRightInd w:val="0"/>
              <w:snapToGrid w:val="0"/>
              <w:jc w:val="center"/>
              <w:rPr>
                <w:rFonts w:eastAsia="仿宋_GB2312"/>
                <w:bCs/>
                <w:szCs w:val="21"/>
              </w:rPr>
            </w:pPr>
            <w:r>
              <w:rPr>
                <w:rFonts w:hint="eastAsia" w:eastAsia="仿宋_GB2312"/>
                <w:bCs/>
                <w:szCs w:val="21"/>
              </w:rPr>
              <w:t>3</w:t>
            </w:r>
          </w:p>
        </w:tc>
        <w:tc>
          <w:tcPr>
            <w:tcW w:w="1542" w:type="pct"/>
            <w:gridSpan w:val="2"/>
            <w:noWrap w:val="0"/>
            <w:vAlign w:val="center"/>
          </w:tcPr>
          <w:p>
            <w:pPr>
              <w:adjustRightInd w:val="0"/>
              <w:snapToGrid w:val="0"/>
              <w:jc w:val="center"/>
              <w:rPr>
                <w:rFonts w:eastAsia="仿宋_GB2312"/>
                <w:bCs/>
                <w:szCs w:val="21"/>
              </w:rPr>
            </w:pPr>
          </w:p>
        </w:tc>
        <w:tc>
          <w:tcPr>
            <w:tcW w:w="635" w:type="pct"/>
            <w:noWrap w:val="0"/>
            <w:vAlign w:val="center"/>
          </w:tcPr>
          <w:p>
            <w:pPr>
              <w:adjustRightInd w:val="0"/>
              <w:snapToGrid w:val="0"/>
              <w:jc w:val="center"/>
              <w:rPr>
                <w:rFonts w:eastAsia="仿宋_GB2312"/>
                <w:bCs/>
                <w:szCs w:val="21"/>
              </w:rPr>
            </w:pPr>
          </w:p>
        </w:tc>
        <w:tc>
          <w:tcPr>
            <w:tcW w:w="749" w:type="pct"/>
            <w:noWrap w:val="0"/>
            <w:vAlign w:val="center"/>
          </w:tcPr>
          <w:p>
            <w:pPr>
              <w:adjustRightInd w:val="0"/>
              <w:snapToGrid w:val="0"/>
              <w:jc w:val="center"/>
              <w:rPr>
                <w:rFonts w:eastAsia="仿宋_GB2312"/>
                <w:bCs/>
                <w:szCs w:val="21"/>
              </w:rPr>
            </w:pPr>
          </w:p>
        </w:tc>
        <w:tc>
          <w:tcPr>
            <w:tcW w:w="1065" w:type="pct"/>
            <w:noWrap w:val="0"/>
            <w:vAlign w:val="center"/>
          </w:tcPr>
          <w:p>
            <w:pPr>
              <w:adjustRightInd w:val="0"/>
              <w:snapToGrid w:val="0"/>
              <w:jc w:val="center"/>
              <w:rPr>
                <w:rFonts w:eastAsia="仿宋_GB2312"/>
                <w:bCs/>
                <w:szCs w:val="21"/>
              </w:rPr>
            </w:pPr>
          </w:p>
        </w:tc>
        <w:tc>
          <w:tcPr>
            <w:tcW w:w="576" w:type="pct"/>
            <w:noWrap w:val="0"/>
            <w:vAlign w:val="center"/>
          </w:tcPr>
          <w:p>
            <w:pPr>
              <w:adjustRightInd w:val="0"/>
              <w:snapToGrid w:val="0"/>
              <w:jc w:val="center"/>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 w:type="pct"/>
            <w:gridSpan w:val="2"/>
            <w:noWrap w:val="0"/>
            <w:vAlign w:val="center"/>
          </w:tcPr>
          <w:p>
            <w:pPr>
              <w:adjustRightInd w:val="0"/>
              <w:snapToGrid w:val="0"/>
              <w:jc w:val="center"/>
              <w:rPr>
                <w:rFonts w:eastAsia="仿宋_GB2312"/>
                <w:bCs/>
                <w:szCs w:val="21"/>
              </w:rPr>
            </w:pPr>
            <w:r>
              <w:rPr>
                <w:rFonts w:hint="eastAsia" w:eastAsia="仿宋_GB2312"/>
                <w:bCs/>
                <w:szCs w:val="21"/>
              </w:rPr>
              <w:t>合计</w:t>
            </w:r>
          </w:p>
        </w:tc>
        <w:tc>
          <w:tcPr>
            <w:tcW w:w="4514" w:type="pct"/>
            <w:gridSpan w:val="5"/>
            <w:noWrap w:val="0"/>
            <w:vAlign w:val="center"/>
          </w:tcPr>
          <w:p>
            <w:pPr>
              <w:adjustRightInd w:val="0"/>
              <w:snapToGrid w:val="0"/>
              <w:jc w:val="center"/>
              <w:rPr>
                <w:rFonts w:eastAsia="仿宋_GB2312"/>
                <w:bCs/>
                <w:szCs w:val="21"/>
              </w:rPr>
            </w:pPr>
          </w:p>
        </w:tc>
      </w:tr>
    </w:tbl>
    <w:p>
      <w:pPr>
        <w:adjustRightInd w:val="0"/>
        <w:snapToGrid w:val="0"/>
        <w:spacing w:line="400" w:lineRule="exact"/>
        <w:ind w:firstLine="566" w:firstLineChars="236"/>
        <w:rPr>
          <w:color w:val="000000"/>
          <w:sz w:val="24"/>
        </w:rPr>
      </w:pPr>
      <w:r>
        <w:rPr>
          <w:color w:val="000000"/>
          <w:sz w:val="24"/>
        </w:rPr>
        <w:t>注：合同金额包括但不限税费等一切与之相关的产品和服务。</w:t>
      </w:r>
    </w:p>
    <w:p>
      <w:pPr>
        <w:adjustRightInd w:val="0"/>
        <w:snapToGrid w:val="0"/>
        <w:spacing w:line="400" w:lineRule="exact"/>
        <w:ind w:firstLine="480" w:firstLineChars="200"/>
        <w:rPr>
          <w:sz w:val="24"/>
        </w:rPr>
      </w:pPr>
      <w:r>
        <w:rPr>
          <w:rFonts w:hint="eastAsia"/>
          <w:sz w:val="24"/>
        </w:rPr>
        <w:t>详细参数见附件一。</w:t>
      </w:r>
    </w:p>
    <w:p>
      <w:pPr>
        <w:adjustRightInd w:val="0"/>
        <w:snapToGrid w:val="0"/>
        <w:spacing w:line="400" w:lineRule="exact"/>
        <w:ind w:firstLine="482" w:firstLineChars="200"/>
        <w:rPr>
          <w:b/>
          <w:color w:val="000000"/>
          <w:sz w:val="24"/>
        </w:rPr>
      </w:pPr>
      <w:r>
        <w:rPr>
          <w:rFonts w:hint="eastAsia"/>
          <w:b/>
          <w:color w:val="000000"/>
          <w:sz w:val="24"/>
        </w:rPr>
        <w:t>二、</w:t>
      </w:r>
      <w:r>
        <w:rPr>
          <w:rFonts w:hint="eastAsia" w:hAnsi="Arial Unicode MS"/>
          <w:b/>
          <w:color w:val="000000"/>
          <w:sz w:val="24"/>
          <w:szCs w:val="24"/>
        </w:rPr>
        <w:t>交货时间及地点</w:t>
      </w:r>
    </w:p>
    <w:p>
      <w:pPr>
        <w:adjustRightInd w:val="0"/>
        <w:snapToGrid w:val="0"/>
        <w:spacing w:line="400" w:lineRule="exact"/>
        <w:ind w:firstLine="480" w:firstLineChars="200"/>
        <w:rPr>
          <w:sz w:val="24"/>
        </w:rPr>
      </w:pPr>
      <w:r>
        <w:rPr>
          <w:rFonts w:hint="eastAsia"/>
          <w:sz w:val="24"/>
        </w:rPr>
        <w:t>服务地点：广州市司法局</w:t>
      </w:r>
    </w:p>
    <w:p>
      <w:pPr>
        <w:adjustRightInd w:val="0"/>
        <w:snapToGrid w:val="0"/>
        <w:spacing w:line="400" w:lineRule="exact"/>
        <w:ind w:firstLine="480" w:firstLineChars="200"/>
        <w:rPr>
          <w:sz w:val="24"/>
        </w:rPr>
      </w:pPr>
      <w:r>
        <w:rPr>
          <w:rFonts w:hint="eastAsia"/>
          <w:sz w:val="24"/>
        </w:rPr>
        <w:t>服务时间：</w:t>
      </w:r>
      <w:bookmarkStart w:id="0" w:name="_Toc238357127"/>
      <w:bookmarkStart w:id="1" w:name="_Toc189116633"/>
      <w:r>
        <w:rPr>
          <w:rFonts w:hint="eastAsia"/>
          <w:sz w:val="24"/>
        </w:rPr>
        <w:t>合同签订后一年</w:t>
      </w:r>
    </w:p>
    <w:p>
      <w:pPr>
        <w:adjustRightInd w:val="0"/>
        <w:snapToGrid w:val="0"/>
        <w:spacing w:line="400" w:lineRule="exact"/>
        <w:ind w:firstLine="482" w:firstLineChars="200"/>
        <w:rPr>
          <w:b/>
          <w:color w:val="000000"/>
          <w:sz w:val="24"/>
        </w:rPr>
      </w:pPr>
      <w:r>
        <w:rPr>
          <w:rFonts w:hint="eastAsia"/>
          <w:b/>
          <w:color w:val="000000"/>
          <w:sz w:val="24"/>
        </w:rPr>
        <w:t>三、</w:t>
      </w:r>
      <w:r>
        <w:rPr>
          <w:rFonts w:hAnsi="Arial Unicode MS"/>
          <w:b/>
          <w:color w:val="000000"/>
          <w:sz w:val="24"/>
          <w:szCs w:val="24"/>
        </w:rPr>
        <w:t>付款方式</w:t>
      </w:r>
      <w:bookmarkEnd w:id="0"/>
      <w:bookmarkEnd w:id="1"/>
      <w:r>
        <w:rPr>
          <w:rFonts w:hint="eastAsia" w:hAnsi="Arial Unicode MS"/>
          <w:b/>
          <w:color w:val="000000"/>
          <w:sz w:val="24"/>
          <w:szCs w:val="24"/>
        </w:rPr>
        <w:t>及条件</w:t>
      </w:r>
    </w:p>
    <w:p>
      <w:pPr>
        <w:adjustRightInd w:val="0"/>
        <w:snapToGrid w:val="0"/>
        <w:spacing w:line="400" w:lineRule="exact"/>
        <w:ind w:firstLine="480" w:firstLineChars="200"/>
        <w:rPr>
          <w:rFonts w:hint="eastAsia"/>
          <w:sz w:val="24"/>
          <w:szCs w:val="24"/>
        </w:rPr>
      </w:pPr>
      <w:r>
        <w:rPr>
          <w:rFonts w:hint="eastAsia"/>
          <w:sz w:val="24"/>
          <w:szCs w:val="24"/>
        </w:rPr>
        <w:t>3.1合同签订生效之日起30个工作日内，乙方按照甲方要求提供支付材料，甲方办理付款手续，向乙方支付合同总费用的50%；</w:t>
      </w:r>
    </w:p>
    <w:p>
      <w:pPr>
        <w:adjustRightInd w:val="0"/>
        <w:snapToGrid w:val="0"/>
        <w:spacing w:line="400" w:lineRule="exact"/>
        <w:ind w:firstLine="480" w:firstLineChars="200"/>
        <w:rPr>
          <w:rFonts w:hint="eastAsia"/>
          <w:sz w:val="24"/>
          <w:szCs w:val="24"/>
        </w:rPr>
      </w:pPr>
      <w:r>
        <w:rPr>
          <w:rFonts w:hint="eastAsia"/>
          <w:sz w:val="24"/>
          <w:szCs w:val="24"/>
        </w:rPr>
        <w:t>3.2乙方提供律师激励体系服务方案并经甲方确认后30个工作日内，乙方按照甲方要求提供支付材料，甲方办理付款手续，向乙方支付合同总费用的</w:t>
      </w:r>
      <w:r>
        <w:rPr>
          <w:sz w:val="24"/>
          <w:szCs w:val="24"/>
        </w:rPr>
        <w:t>5</w:t>
      </w:r>
      <w:r>
        <w:rPr>
          <w:rFonts w:hint="eastAsia"/>
          <w:sz w:val="24"/>
          <w:szCs w:val="24"/>
        </w:rPr>
        <w:t>0%。</w:t>
      </w:r>
    </w:p>
    <w:p>
      <w:pPr>
        <w:adjustRightInd w:val="0"/>
        <w:snapToGrid w:val="0"/>
        <w:spacing w:line="400" w:lineRule="exact"/>
        <w:ind w:firstLine="480" w:firstLineChars="200"/>
        <w:rPr>
          <w:sz w:val="24"/>
          <w:szCs w:val="24"/>
        </w:rPr>
      </w:pPr>
      <w:r>
        <w:rPr>
          <w:rFonts w:hint="eastAsia"/>
          <w:sz w:val="24"/>
          <w:szCs w:val="24"/>
        </w:rPr>
        <w:t>注：</w:t>
      </w:r>
    </w:p>
    <w:p>
      <w:pPr>
        <w:adjustRightInd w:val="0"/>
        <w:snapToGrid w:val="0"/>
        <w:spacing w:line="400" w:lineRule="exact"/>
        <w:ind w:firstLine="480" w:firstLineChars="200"/>
        <w:rPr>
          <w:rFonts w:hint="eastAsia"/>
          <w:color w:val="000000"/>
          <w:sz w:val="24"/>
          <w:szCs w:val="24"/>
        </w:rPr>
      </w:pPr>
      <w:r>
        <w:rPr>
          <w:rFonts w:hint="eastAsia"/>
          <w:color w:val="000000"/>
          <w:sz w:val="24"/>
          <w:szCs w:val="24"/>
        </w:rPr>
        <w:t>实际支付时间以财政资金下达实际时间为准，付款方式以双方最终签订的合同为准。如乙方未按要求提供发票等支付材料的，甲方有权拒绝付款。</w:t>
      </w:r>
    </w:p>
    <w:p>
      <w:pPr>
        <w:adjustRightInd w:val="0"/>
        <w:snapToGrid w:val="0"/>
        <w:spacing w:line="400" w:lineRule="exact"/>
        <w:ind w:right="-292" w:rightChars="-139" w:firstLine="482" w:firstLineChars="200"/>
        <w:jc w:val="left"/>
        <w:textAlignment w:val="baseline"/>
        <w:rPr>
          <w:b/>
          <w:sz w:val="24"/>
          <w:szCs w:val="24"/>
        </w:rPr>
      </w:pPr>
      <w:r>
        <w:rPr>
          <w:rFonts w:hint="eastAsia"/>
          <w:b/>
          <w:color w:val="000000"/>
          <w:sz w:val="24"/>
        </w:rPr>
        <w:t>四、</w:t>
      </w:r>
      <w:r>
        <w:rPr>
          <w:b/>
          <w:sz w:val="24"/>
          <w:szCs w:val="24"/>
        </w:rPr>
        <w:t>违约责任</w:t>
      </w:r>
    </w:p>
    <w:p>
      <w:pPr>
        <w:adjustRightInd w:val="0"/>
        <w:snapToGrid w:val="0"/>
        <w:spacing w:line="400" w:lineRule="exact"/>
        <w:ind w:left="141" w:leftChars="67" w:right="-292" w:rightChars="-139" w:firstLine="480" w:firstLineChars="200"/>
        <w:textAlignment w:val="baseline"/>
        <w:rPr>
          <w:sz w:val="24"/>
          <w:szCs w:val="24"/>
        </w:rPr>
      </w:pPr>
      <w:r>
        <w:rPr>
          <w:rFonts w:hint="eastAsia"/>
          <w:sz w:val="24"/>
          <w:szCs w:val="24"/>
        </w:rPr>
        <w:t>4</w:t>
      </w:r>
      <w:r>
        <w:rPr>
          <w:sz w:val="24"/>
          <w:szCs w:val="24"/>
        </w:rPr>
        <w:t>.1</w:t>
      </w:r>
      <w:r>
        <w:rPr>
          <w:rFonts w:hint="eastAsia"/>
          <w:sz w:val="24"/>
          <w:szCs w:val="24"/>
        </w:rPr>
        <w:t>因</w:t>
      </w:r>
      <w:r>
        <w:rPr>
          <w:sz w:val="24"/>
          <w:szCs w:val="24"/>
        </w:rPr>
        <w:t>乙方</w:t>
      </w:r>
      <w:r>
        <w:rPr>
          <w:rFonts w:hint="eastAsia"/>
          <w:sz w:val="24"/>
          <w:szCs w:val="24"/>
        </w:rPr>
        <w:t>原因造成本项目不</w:t>
      </w:r>
      <w:r>
        <w:rPr>
          <w:sz w:val="24"/>
          <w:szCs w:val="24"/>
        </w:rPr>
        <w:t>能通过验收，甲方将给予</w:t>
      </w:r>
      <w:r>
        <w:rPr>
          <w:sz w:val="24"/>
          <w:szCs w:val="24"/>
          <w:u w:val="single"/>
        </w:rPr>
        <w:t xml:space="preserve">  2  </w:t>
      </w:r>
      <w:r>
        <w:rPr>
          <w:sz w:val="24"/>
          <w:szCs w:val="24"/>
        </w:rPr>
        <w:t xml:space="preserve">周时间由乙方进行修改。  </w:t>
      </w:r>
      <w:r>
        <w:rPr>
          <w:sz w:val="24"/>
          <w:szCs w:val="24"/>
          <w:u w:val="single"/>
        </w:rPr>
        <w:t xml:space="preserve">2  </w:t>
      </w:r>
      <w:r>
        <w:rPr>
          <w:sz w:val="24"/>
          <w:szCs w:val="24"/>
        </w:rPr>
        <w:t>周后仍无法通过验收，乙方应将前期甲方已支付给乙方的所有款项退还甲方，同时，甲方有权终止合同，并向乙方追索合同金额  3 %的罚款以及因此而导致的一切损失。</w:t>
      </w:r>
    </w:p>
    <w:p>
      <w:pPr>
        <w:adjustRightInd w:val="0"/>
        <w:snapToGrid w:val="0"/>
        <w:spacing w:line="400" w:lineRule="exact"/>
        <w:ind w:left="141" w:leftChars="67" w:right="-292" w:rightChars="-139" w:firstLine="480" w:firstLineChars="200"/>
        <w:textAlignment w:val="baseline"/>
        <w:rPr>
          <w:sz w:val="24"/>
          <w:szCs w:val="24"/>
        </w:rPr>
      </w:pPr>
      <w:r>
        <w:rPr>
          <w:rFonts w:hint="eastAsia"/>
          <w:sz w:val="24"/>
          <w:szCs w:val="24"/>
        </w:rPr>
        <w:t>4</w:t>
      </w:r>
      <w:r>
        <w:rPr>
          <w:sz w:val="24"/>
          <w:szCs w:val="24"/>
        </w:rPr>
        <w:t>.3因甲方原因造成合同终止，前期甲方已支付给乙方的款项，乙方可不退还甲方；若因乙方原因造成合同终止，乙方需将前期甲方已支付给乙方的款项退还甲方。</w:t>
      </w:r>
    </w:p>
    <w:p>
      <w:pPr>
        <w:adjustRightInd w:val="0"/>
        <w:snapToGrid w:val="0"/>
        <w:spacing w:line="400" w:lineRule="exact"/>
        <w:ind w:right="-292" w:rightChars="-139" w:firstLine="482" w:firstLineChars="200"/>
        <w:textAlignment w:val="baseline"/>
        <w:rPr>
          <w:b/>
          <w:color w:val="000000"/>
          <w:sz w:val="24"/>
        </w:rPr>
      </w:pPr>
      <w:r>
        <w:rPr>
          <w:rFonts w:hint="eastAsia"/>
          <w:b/>
          <w:color w:val="000000"/>
          <w:sz w:val="24"/>
        </w:rPr>
        <w:t>五、</w:t>
      </w:r>
      <w:r>
        <w:rPr>
          <w:b/>
          <w:sz w:val="24"/>
          <w:szCs w:val="24"/>
        </w:rPr>
        <w:t>误期索赔</w:t>
      </w:r>
    </w:p>
    <w:p>
      <w:pPr>
        <w:adjustRightInd w:val="0"/>
        <w:snapToGrid w:val="0"/>
        <w:spacing w:line="400" w:lineRule="exact"/>
        <w:ind w:firstLine="480" w:firstLineChars="200"/>
        <w:jc w:val="left"/>
        <w:textAlignment w:val="baseline"/>
        <w:rPr>
          <w:sz w:val="24"/>
          <w:szCs w:val="24"/>
        </w:rPr>
      </w:pPr>
      <w:r>
        <w:rPr>
          <w:sz w:val="24"/>
          <w:szCs w:val="24"/>
        </w:rPr>
        <w:t>5</w:t>
      </w:r>
      <w:r>
        <w:rPr>
          <w:rFonts w:hint="eastAsia"/>
          <w:sz w:val="24"/>
          <w:szCs w:val="24"/>
        </w:rPr>
        <w:t>.1</w:t>
      </w:r>
      <w:r>
        <w:rPr>
          <w:sz w:val="24"/>
          <w:szCs w:val="24"/>
        </w:rPr>
        <w:t>如果乙方没有按照合同规定的时间交货，乙方应向甲方支付违约金</w:t>
      </w:r>
      <w:r>
        <w:rPr>
          <w:rFonts w:hint="eastAsia"/>
          <w:sz w:val="24"/>
          <w:szCs w:val="24"/>
        </w:rPr>
        <w:t>；</w:t>
      </w:r>
    </w:p>
    <w:p>
      <w:pPr>
        <w:adjustRightInd w:val="0"/>
        <w:snapToGrid w:val="0"/>
        <w:spacing w:line="400" w:lineRule="exact"/>
        <w:ind w:firstLine="480" w:firstLineChars="200"/>
        <w:jc w:val="left"/>
        <w:textAlignment w:val="baseline"/>
        <w:rPr>
          <w:sz w:val="24"/>
          <w:szCs w:val="24"/>
        </w:rPr>
      </w:pPr>
      <w:r>
        <w:rPr>
          <w:sz w:val="24"/>
          <w:szCs w:val="24"/>
        </w:rPr>
        <w:t>5</w:t>
      </w:r>
      <w:r>
        <w:rPr>
          <w:rFonts w:hint="eastAsia"/>
          <w:sz w:val="24"/>
          <w:szCs w:val="24"/>
        </w:rPr>
        <w:t>.2每迟交货1天，</w:t>
      </w:r>
      <w:r>
        <w:rPr>
          <w:sz w:val="24"/>
          <w:szCs w:val="24"/>
        </w:rPr>
        <w:t>违约金按</w:t>
      </w:r>
      <w:r>
        <w:rPr>
          <w:rFonts w:hint="eastAsia"/>
          <w:sz w:val="24"/>
          <w:szCs w:val="24"/>
        </w:rPr>
        <w:t>合同金额的</w:t>
      </w:r>
      <w:r>
        <w:rPr>
          <w:rFonts w:hint="eastAsia"/>
          <w:sz w:val="24"/>
          <w:szCs w:val="24"/>
          <w:u w:val="single"/>
        </w:rPr>
        <w:t>1</w:t>
      </w:r>
      <w:r>
        <w:rPr>
          <w:sz w:val="24"/>
          <w:szCs w:val="24"/>
        </w:rPr>
        <w:t>％</w:t>
      </w:r>
      <w:r>
        <w:rPr>
          <w:rFonts w:hint="eastAsia"/>
          <w:sz w:val="24"/>
          <w:szCs w:val="24"/>
        </w:rPr>
        <w:t>收取；</w:t>
      </w:r>
    </w:p>
    <w:p>
      <w:pPr>
        <w:adjustRightInd w:val="0"/>
        <w:snapToGrid w:val="0"/>
        <w:spacing w:line="400" w:lineRule="exact"/>
        <w:ind w:firstLine="480" w:firstLineChars="200"/>
        <w:jc w:val="left"/>
        <w:textAlignment w:val="baseline"/>
        <w:rPr>
          <w:sz w:val="24"/>
          <w:szCs w:val="24"/>
        </w:rPr>
      </w:pPr>
      <w:r>
        <w:rPr>
          <w:sz w:val="24"/>
          <w:szCs w:val="24"/>
        </w:rPr>
        <w:t>5</w:t>
      </w:r>
      <w:r>
        <w:rPr>
          <w:rFonts w:hint="eastAsia"/>
          <w:sz w:val="24"/>
          <w:szCs w:val="24"/>
        </w:rPr>
        <w:t>.3</w:t>
      </w:r>
      <w:r>
        <w:rPr>
          <w:sz w:val="24"/>
          <w:szCs w:val="24"/>
        </w:rPr>
        <w:t>违约金的最高限额不超过合同价的</w:t>
      </w:r>
      <w:r>
        <w:rPr>
          <w:rFonts w:hint="eastAsia"/>
          <w:sz w:val="24"/>
          <w:szCs w:val="24"/>
          <w:u w:val="single"/>
        </w:rPr>
        <w:t>5</w:t>
      </w:r>
      <w:r>
        <w:rPr>
          <w:sz w:val="24"/>
          <w:szCs w:val="24"/>
        </w:rPr>
        <w:t>％</w:t>
      </w:r>
      <w:r>
        <w:rPr>
          <w:rFonts w:hint="eastAsia"/>
          <w:sz w:val="24"/>
          <w:szCs w:val="24"/>
        </w:rPr>
        <w:t>，若</w:t>
      </w:r>
      <w:r>
        <w:rPr>
          <w:sz w:val="24"/>
          <w:szCs w:val="24"/>
        </w:rPr>
        <w:t>达到违约金的最高限额，甲方有权终止合同</w:t>
      </w:r>
      <w:r>
        <w:rPr>
          <w:rFonts w:hint="eastAsia"/>
          <w:sz w:val="24"/>
          <w:szCs w:val="24"/>
        </w:rPr>
        <w:t>；</w:t>
      </w:r>
    </w:p>
    <w:p>
      <w:pPr>
        <w:adjustRightInd w:val="0"/>
        <w:snapToGrid w:val="0"/>
        <w:spacing w:line="400" w:lineRule="exact"/>
        <w:ind w:firstLine="480" w:firstLineChars="200"/>
        <w:jc w:val="left"/>
        <w:textAlignment w:val="baseline"/>
        <w:rPr>
          <w:sz w:val="24"/>
          <w:szCs w:val="24"/>
        </w:rPr>
      </w:pPr>
      <w:r>
        <w:rPr>
          <w:sz w:val="24"/>
          <w:szCs w:val="24"/>
        </w:rPr>
        <w:t>5</w:t>
      </w:r>
      <w:r>
        <w:rPr>
          <w:rFonts w:hint="eastAsia"/>
          <w:sz w:val="24"/>
          <w:szCs w:val="24"/>
        </w:rPr>
        <w:t>.4</w:t>
      </w:r>
      <w:r>
        <w:rPr>
          <w:sz w:val="24"/>
          <w:szCs w:val="24"/>
        </w:rPr>
        <w:t>因乙方原因造成本合同解除的，乙方除应退还已收的货款，赔偿甲方的全部损失外，还应当向甲方赔偿合同金额</w:t>
      </w:r>
      <w:r>
        <w:rPr>
          <w:rFonts w:hint="eastAsia"/>
          <w:sz w:val="24"/>
          <w:szCs w:val="24"/>
          <w:u w:val="single"/>
        </w:rPr>
        <w:t>10</w:t>
      </w:r>
      <w:r>
        <w:rPr>
          <w:sz w:val="24"/>
          <w:szCs w:val="24"/>
        </w:rPr>
        <w:t>%的违约金。</w:t>
      </w:r>
    </w:p>
    <w:p>
      <w:pPr>
        <w:adjustRightInd w:val="0"/>
        <w:snapToGrid w:val="0"/>
        <w:spacing w:line="400" w:lineRule="exact"/>
        <w:ind w:firstLine="480" w:firstLineChars="200"/>
        <w:jc w:val="left"/>
        <w:textAlignment w:val="baseline"/>
        <w:rPr>
          <w:sz w:val="24"/>
          <w:szCs w:val="24"/>
        </w:rPr>
      </w:pPr>
      <w:r>
        <w:rPr>
          <w:sz w:val="24"/>
          <w:szCs w:val="24"/>
        </w:rPr>
        <w:t>5</w:t>
      </w:r>
      <w:r>
        <w:rPr>
          <w:rFonts w:hint="eastAsia"/>
          <w:sz w:val="24"/>
          <w:szCs w:val="24"/>
        </w:rPr>
        <w:t>.5甲方无故不按时向乙方支付货款，每逾期一日承担应付未付价款的万分之四作为违约金。甲方办理完成款项支付的申请手续即视为完成付款义务，如因财政资金的下达、拨付问题导致付款延迟的，不视为甲方违约，乙方不得据此追究甲方违约责任。</w:t>
      </w:r>
    </w:p>
    <w:p>
      <w:pPr>
        <w:adjustRightInd w:val="0"/>
        <w:snapToGrid w:val="0"/>
        <w:spacing w:line="400" w:lineRule="exact"/>
        <w:ind w:firstLine="482" w:firstLineChars="200"/>
        <w:jc w:val="left"/>
        <w:textAlignment w:val="baseline"/>
        <w:rPr>
          <w:b/>
          <w:sz w:val="24"/>
          <w:szCs w:val="24"/>
        </w:rPr>
      </w:pPr>
      <w:bookmarkStart w:id="2" w:name="_Toc259545734"/>
      <w:r>
        <w:rPr>
          <w:rFonts w:hint="eastAsia"/>
          <w:b/>
          <w:sz w:val="24"/>
          <w:szCs w:val="24"/>
        </w:rPr>
        <w:t>六、</w:t>
      </w:r>
      <w:r>
        <w:rPr>
          <w:b/>
          <w:sz w:val="24"/>
          <w:szCs w:val="24"/>
        </w:rPr>
        <w:t>违约终止合同</w:t>
      </w:r>
      <w:bookmarkEnd w:id="2"/>
    </w:p>
    <w:p>
      <w:pPr>
        <w:adjustRightInd w:val="0"/>
        <w:snapToGrid w:val="0"/>
        <w:spacing w:line="400" w:lineRule="exact"/>
        <w:ind w:firstLine="480" w:firstLineChars="200"/>
        <w:jc w:val="left"/>
        <w:textAlignment w:val="baseline"/>
        <w:rPr>
          <w:sz w:val="24"/>
          <w:szCs w:val="24"/>
        </w:rPr>
      </w:pPr>
      <w:r>
        <w:rPr>
          <w:sz w:val="24"/>
          <w:szCs w:val="24"/>
        </w:rPr>
        <w:t>在甲方对乙方违约而采取的任何补救措施不受影响的情况下，甲方可向乙方发出书面违约通知书，提出终止部分或全部合同：</w:t>
      </w:r>
    </w:p>
    <w:p>
      <w:pPr>
        <w:adjustRightInd w:val="0"/>
        <w:snapToGrid w:val="0"/>
        <w:spacing w:line="400" w:lineRule="exact"/>
        <w:ind w:firstLine="480" w:firstLineChars="200"/>
        <w:jc w:val="left"/>
        <w:textAlignment w:val="baseline"/>
        <w:rPr>
          <w:rFonts w:hint="eastAsia"/>
          <w:sz w:val="24"/>
          <w:szCs w:val="24"/>
        </w:rPr>
      </w:pPr>
      <w:r>
        <w:rPr>
          <w:sz w:val="24"/>
          <w:szCs w:val="24"/>
        </w:rPr>
        <w:t>1)</w:t>
      </w:r>
      <w:r>
        <w:rPr>
          <w:rFonts w:hint="eastAsia"/>
          <w:sz w:val="24"/>
          <w:szCs w:val="24"/>
        </w:rPr>
        <w:t>如果乙方提供的运营服务质量不符合甲方要求；</w:t>
      </w:r>
    </w:p>
    <w:p>
      <w:pPr>
        <w:adjustRightInd w:val="0"/>
        <w:snapToGrid w:val="0"/>
        <w:spacing w:line="400" w:lineRule="exact"/>
        <w:ind w:firstLine="480" w:firstLineChars="200"/>
        <w:jc w:val="left"/>
        <w:textAlignment w:val="baseline"/>
        <w:rPr>
          <w:sz w:val="24"/>
          <w:szCs w:val="24"/>
        </w:rPr>
      </w:pPr>
      <w:r>
        <w:rPr>
          <w:rFonts w:hint="eastAsia"/>
          <w:sz w:val="24"/>
          <w:szCs w:val="24"/>
        </w:rPr>
        <w:t>2)如果乙方擅自将本合同规定的应向甲方提供的服务转包、分包；</w:t>
      </w:r>
    </w:p>
    <w:p>
      <w:pPr>
        <w:adjustRightInd w:val="0"/>
        <w:snapToGrid w:val="0"/>
        <w:spacing w:line="400" w:lineRule="exact"/>
        <w:ind w:firstLine="480" w:firstLineChars="200"/>
        <w:jc w:val="left"/>
        <w:textAlignment w:val="baseline"/>
        <w:rPr>
          <w:sz w:val="24"/>
          <w:szCs w:val="24"/>
        </w:rPr>
      </w:pPr>
      <w:r>
        <w:rPr>
          <w:rFonts w:hint="eastAsia"/>
          <w:sz w:val="24"/>
          <w:szCs w:val="24"/>
        </w:rPr>
        <w:t>3</w:t>
      </w:r>
      <w:r>
        <w:rPr>
          <w:sz w:val="24"/>
          <w:szCs w:val="24"/>
        </w:rPr>
        <w:t>)如果乙方未能在合同规定的期限内提供全部货物</w:t>
      </w:r>
      <w:r>
        <w:rPr>
          <w:rFonts w:hint="eastAsia"/>
          <w:sz w:val="24"/>
          <w:szCs w:val="24"/>
        </w:rPr>
        <w:t>或服务</w:t>
      </w:r>
      <w:r>
        <w:rPr>
          <w:sz w:val="24"/>
          <w:szCs w:val="24"/>
        </w:rPr>
        <w:t>；</w:t>
      </w:r>
    </w:p>
    <w:p>
      <w:pPr>
        <w:adjustRightInd w:val="0"/>
        <w:snapToGrid w:val="0"/>
        <w:spacing w:line="400" w:lineRule="exact"/>
        <w:ind w:firstLine="480" w:firstLineChars="200"/>
        <w:jc w:val="left"/>
        <w:textAlignment w:val="baseline"/>
        <w:rPr>
          <w:sz w:val="24"/>
          <w:szCs w:val="24"/>
        </w:rPr>
      </w:pPr>
      <w:r>
        <w:rPr>
          <w:sz w:val="24"/>
          <w:szCs w:val="24"/>
        </w:rPr>
        <w:t>4)如果乙方未能履行合同规定的其它任何义务。</w:t>
      </w:r>
    </w:p>
    <w:p>
      <w:pPr>
        <w:adjustRightInd w:val="0"/>
        <w:snapToGrid w:val="0"/>
        <w:spacing w:line="400" w:lineRule="exact"/>
        <w:ind w:firstLine="480" w:firstLineChars="200"/>
        <w:jc w:val="left"/>
        <w:textAlignment w:val="baseline"/>
        <w:rPr>
          <w:sz w:val="24"/>
          <w:szCs w:val="24"/>
        </w:rPr>
      </w:pPr>
      <w:r>
        <w:rPr>
          <w:sz w:val="24"/>
          <w:szCs w:val="24"/>
        </w:rPr>
        <w:t>5)如果甲方认为乙方在本合同的竞争和实施过程中有腐败和欺诈行为。为此目的，定义下述条件：</w:t>
      </w:r>
    </w:p>
    <w:p>
      <w:pPr>
        <w:adjustRightInd w:val="0"/>
        <w:snapToGrid w:val="0"/>
        <w:spacing w:line="400" w:lineRule="exact"/>
        <w:ind w:firstLine="480" w:firstLineChars="200"/>
        <w:jc w:val="left"/>
        <w:textAlignment w:val="baseline"/>
        <w:rPr>
          <w:sz w:val="24"/>
          <w:szCs w:val="24"/>
        </w:rPr>
      </w:pPr>
      <w:r>
        <w:rPr>
          <w:sz w:val="24"/>
          <w:szCs w:val="24"/>
        </w:rPr>
        <w:t>a)“腐败行为”是指提供、给予、接受或索取任何有价值的物品来影响甲方在采购过程或合同实施过程中的行为。</w:t>
      </w:r>
    </w:p>
    <w:p>
      <w:pPr>
        <w:adjustRightInd w:val="0"/>
        <w:snapToGrid w:val="0"/>
        <w:spacing w:line="400" w:lineRule="exact"/>
        <w:ind w:firstLine="480" w:firstLineChars="200"/>
        <w:jc w:val="left"/>
        <w:textAlignment w:val="baseline"/>
        <w:rPr>
          <w:sz w:val="24"/>
          <w:szCs w:val="24"/>
        </w:rPr>
      </w:pPr>
      <w:r>
        <w:rPr>
          <w:sz w:val="24"/>
          <w:szCs w:val="24"/>
        </w:rPr>
        <w:t>b)“欺诈行为”是指为了影响采购过程或合同实施过程而谎报或隐瞒事实，损害甲方利益的行为。</w:t>
      </w:r>
    </w:p>
    <w:p>
      <w:pPr>
        <w:adjustRightInd w:val="0"/>
        <w:snapToGrid w:val="0"/>
        <w:spacing w:line="400" w:lineRule="exact"/>
        <w:ind w:firstLine="480" w:firstLineChars="200"/>
        <w:jc w:val="left"/>
        <w:textAlignment w:val="baseline"/>
        <w:rPr>
          <w:sz w:val="24"/>
          <w:szCs w:val="24"/>
        </w:rPr>
      </w:pPr>
      <w:r>
        <w:rPr>
          <w:sz w:val="24"/>
          <w:szCs w:val="24"/>
        </w:rPr>
        <w:t>如果甲方根据上述规定，终止了全部或部分合同，甲方可以依其认为适当的条件和方法购买与未交货物类似的货物或服务，乙方应承担甲方因购买类似货物或服务而产生的额外支出。但是，乙方应继续执行合同中未终止的部分。</w:t>
      </w:r>
    </w:p>
    <w:p>
      <w:pPr>
        <w:adjustRightInd w:val="0"/>
        <w:snapToGrid w:val="0"/>
        <w:spacing w:line="392" w:lineRule="exact"/>
        <w:ind w:firstLine="482" w:firstLineChars="200"/>
        <w:jc w:val="left"/>
        <w:textAlignment w:val="baseline"/>
        <w:rPr>
          <w:b/>
          <w:sz w:val="24"/>
          <w:szCs w:val="24"/>
        </w:rPr>
      </w:pPr>
      <w:r>
        <w:rPr>
          <w:rFonts w:hint="eastAsia"/>
          <w:b/>
          <w:sz w:val="24"/>
          <w:szCs w:val="24"/>
        </w:rPr>
        <w:t>七、</w:t>
      </w:r>
      <w:r>
        <w:rPr>
          <w:b/>
          <w:sz w:val="24"/>
          <w:szCs w:val="24"/>
        </w:rPr>
        <w:t>不可抗力</w:t>
      </w:r>
    </w:p>
    <w:p>
      <w:pPr>
        <w:adjustRightInd w:val="0"/>
        <w:snapToGrid w:val="0"/>
        <w:spacing w:line="392" w:lineRule="exact"/>
        <w:ind w:firstLine="480" w:firstLineChars="200"/>
        <w:jc w:val="left"/>
        <w:textAlignment w:val="baseline"/>
        <w:rPr>
          <w:sz w:val="24"/>
          <w:szCs w:val="24"/>
        </w:rPr>
      </w:pPr>
      <w:r>
        <w:rPr>
          <w:sz w:val="24"/>
          <w:szCs w:val="24"/>
        </w:rPr>
        <w:t>本条所述的“不可抗力”系指那些不能预见，不能避免，并不能克服的客观情况。但不包括乙方的违约或疏忽。仅限于：战争、严重火灾、洪水、台风、地震以及其它双方商定的事件。</w:t>
      </w:r>
    </w:p>
    <w:p>
      <w:pPr>
        <w:adjustRightInd w:val="0"/>
        <w:snapToGrid w:val="0"/>
        <w:spacing w:line="392" w:lineRule="exact"/>
        <w:ind w:firstLine="480" w:firstLineChars="200"/>
        <w:jc w:val="left"/>
        <w:textAlignment w:val="baseline"/>
        <w:rPr>
          <w:sz w:val="24"/>
          <w:szCs w:val="24"/>
        </w:rPr>
      </w:pPr>
      <w:r>
        <w:rPr>
          <w:sz w:val="24"/>
          <w:szCs w:val="24"/>
        </w:rPr>
        <w:t>不可抗力事件影响持续超过30天，双方应通过协商解决进一步履行合同事宜。在不可抗力事件发生后，乙方应尽快以书面形式将不可抗力的情况和原因通知甲方,并在合理期限内提供证明。</w:t>
      </w:r>
    </w:p>
    <w:p>
      <w:pPr>
        <w:adjustRightInd w:val="0"/>
        <w:snapToGrid w:val="0"/>
        <w:spacing w:line="392" w:lineRule="exact"/>
        <w:ind w:firstLine="482" w:firstLineChars="200"/>
        <w:jc w:val="left"/>
        <w:textAlignment w:val="baseline"/>
        <w:rPr>
          <w:b/>
          <w:sz w:val="24"/>
          <w:szCs w:val="24"/>
        </w:rPr>
      </w:pPr>
      <w:r>
        <w:rPr>
          <w:rFonts w:hint="eastAsia"/>
          <w:b/>
          <w:sz w:val="24"/>
          <w:szCs w:val="24"/>
        </w:rPr>
        <w:t>八、</w:t>
      </w:r>
      <w:r>
        <w:rPr>
          <w:b/>
          <w:sz w:val="24"/>
          <w:szCs w:val="24"/>
        </w:rPr>
        <w:t>破产终止合同</w:t>
      </w:r>
    </w:p>
    <w:p>
      <w:pPr>
        <w:adjustRightInd w:val="0"/>
        <w:snapToGrid w:val="0"/>
        <w:spacing w:line="392" w:lineRule="exact"/>
        <w:ind w:firstLine="480" w:firstLineChars="200"/>
        <w:jc w:val="left"/>
        <w:textAlignment w:val="baseline"/>
        <w:rPr>
          <w:sz w:val="24"/>
          <w:szCs w:val="24"/>
        </w:rPr>
      </w:pPr>
      <w:r>
        <w:rPr>
          <w:sz w:val="24"/>
          <w:szCs w:val="24"/>
        </w:rPr>
        <w:t>如果乙方破产或无赔偿能力，甲方可在任何时候以书面形式通知乙方终止合同而不给乙方任何补偿。该终止合同将不损害或影响甲方已经采取或将要采取的任何形式</w:t>
      </w:r>
      <w:r>
        <w:rPr>
          <w:rFonts w:hint="eastAsia"/>
          <w:sz w:val="24"/>
          <w:szCs w:val="24"/>
        </w:rPr>
        <w:t>的</w:t>
      </w:r>
      <w:r>
        <w:rPr>
          <w:sz w:val="24"/>
          <w:szCs w:val="24"/>
        </w:rPr>
        <w:t>补救措施的权利。</w:t>
      </w:r>
      <w:bookmarkStart w:id="3" w:name="_Toc259545737"/>
    </w:p>
    <w:bookmarkEnd w:id="3"/>
    <w:p>
      <w:pPr>
        <w:adjustRightInd w:val="0"/>
        <w:snapToGrid w:val="0"/>
        <w:spacing w:line="392" w:lineRule="exact"/>
        <w:ind w:right="-292" w:rightChars="-139" w:firstLine="482" w:firstLineChars="200"/>
        <w:jc w:val="left"/>
        <w:textAlignment w:val="baseline"/>
        <w:rPr>
          <w:b/>
          <w:sz w:val="24"/>
          <w:szCs w:val="24"/>
        </w:rPr>
      </w:pPr>
      <w:r>
        <w:rPr>
          <w:rFonts w:hint="eastAsia"/>
          <w:b/>
          <w:sz w:val="24"/>
          <w:szCs w:val="24"/>
        </w:rPr>
        <w:t>久、</w:t>
      </w:r>
      <w:r>
        <w:rPr>
          <w:b/>
          <w:sz w:val="24"/>
          <w:szCs w:val="24"/>
        </w:rPr>
        <w:t>适用法律</w:t>
      </w:r>
    </w:p>
    <w:p>
      <w:pPr>
        <w:adjustRightInd w:val="0"/>
        <w:snapToGrid w:val="0"/>
        <w:spacing w:line="392" w:lineRule="exact"/>
        <w:ind w:firstLine="480" w:firstLineChars="200"/>
        <w:jc w:val="left"/>
        <w:textAlignment w:val="baseline"/>
        <w:rPr>
          <w:sz w:val="24"/>
          <w:szCs w:val="24"/>
        </w:rPr>
      </w:pPr>
      <w:r>
        <w:rPr>
          <w:sz w:val="24"/>
          <w:szCs w:val="24"/>
        </w:rPr>
        <w:t>本合同应按中华人民共和国现行法律进行解释。</w:t>
      </w:r>
    </w:p>
    <w:p>
      <w:pPr>
        <w:adjustRightInd w:val="0"/>
        <w:snapToGrid w:val="0"/>
        <w:spacing w:line="392" w:lineRule="exact"/>
        <w:ind w:right="-292" w:rightChars="-139" w:firstLine="482" w:firstLineChars="200"/>
        <w:jc w:val="left"/>
        <w:textAlignment w:val="baseline"/>
        <w:rPr>
          <w:b/>
          <w:sz w:val="24"/>
          <w:szCs w:val="24"/>
        </w:rPr>
      </w:pPr>
      <w:r>
        <w:rPr>
          <w:rFonts w:hint="eastAsia"/>
          <w:b/>
          <w:sz w:val="24"/>
          <w:szCs w:val="24"/>
        </w:rPr>
        <w:t>十、</w:t>
      </w:r>
      <w:r>
        <w:rPr>
          <w:b/>
          <w:sz w:val="24"/>
          <w:szCs w:val="24"/>
        </w:rPr>
        <w:t>争端的解决</w:t>
      </w:r>
    </w:p>
    <w:p>
      <w:pPr>
        <w:adjustRightInd w:val="0"/>
        <w:snapToGrid w:val="0"/>
        <w:spacing w:line="392" w:lineRule="exact"/>
        <w:ind w:firstLine="480" w:firstLineChars="200"/>
        <w:jc w:val="left"/>
        <w:textAlignment w:val="baseline"/>
        <w:rPr>
          <w:sz w:val="24"/>
          <w:szCs w:val="24"/>
        </w:rPr>
      </w:pPr>
      <w:r>
        <w:rPr>
          <w:sz w:val="24"/>
          <w:szCs w:val="24"/>
        </w:rPr>
        <w:t>甲乙双方应通过友好协商，解决在执行本合同中所发生的与本合同有关的一切争端。如协商不成，向甲方所在地有管辖权的法院诉讼解决</w:t>
      </w:r>
      <w:r>
        <w:rPr>
          <w:rFonts w:hint="eastAsia"/>
          <w:sz w:val="24"/>
          <w:szCs w:val="24"/>
        </w:rPr>
        <w:t>。</w:t>
      </w:r>
    </w:p>
    <w:p>
      <w:pPr>
        <w:adjustRightInd w:val="0"/>
        <w:snapToGrid w:val="0"/>
        <w:spacing w:line="400" w:lineRule="exact"/>
        <w:ind w:firstLine="482" w:firstLineChars="200"/>
        <w:jc w:val="left"/>
        <w:textAlignment w:val="baseline"/>
        <w:rPr>
          <w:b/>
          <w:sz w:val="24"/>
          <w:szCs w:val="24"/>
        </w:rPr>
      </w:pPr>
      <w:bookmarkStart w:id="4" w:name="_Toc240654289"/>
      <w:r>
        <w:rPr>
          <w:rFonts w:hint="eastAsia"/>
          <w:b/>
          <w:sz w:val="24"/>
          <w:szCs w:val="24"/>
        </w:rPr>
        <w:t>十一、</w:t>
      </w:r>
      <w:r>
        <w:rPr>
          <w:b/>
          <w:sz w:val="24"/>
          <w:szCs w:val="24"/>
        </w:rPr>
        <w:t>保密事项</w:t>
      </w:r>
      <w:bookmarkEnd w:id="4"/>
    </w:p>
    <w:p>
      <w:pPr>
        <w:adjustRightInd w:val="0"/>
        <w:snapToGrid w:val="0"/>
        <w:spacing w:line="400" w:lineRule="exact"/>
        <w:ind w:right="-292" w:rightChars="-139" w:firstLine="480" w:firstLineChars="200"/>
        <w:rPr>
          <w:b/>
          <w:sz w:val="24"/>
          <w:szCs w:val="24"/>
        </w:rPr>
      </w:pPr>
      <w:r>
        <w:rPr>
          <w:rFonts w:hint="eastAsia"/>
          <w:bCs/>
          <w:sz w:val="24"/>
          <w:szCs w:val="24"/>
        </w:rPr>
        <w:t>本次合作过程中形成的相关资料、信息涉及国家秘密、商业秘密及其他不宜公开的内部信息的，双方承诺保密，依法予以解密或者依法依规应当公开的除外。保密条款在本协议期满、解除或者终止后仍然有效,至有关信息依法予以解密或者依法公开为止。</w:t>
      </w:r>
    </w:p>
    <w:p>
      <w:pPr>
        <w:adjustRightInd w:val="0"/>
        <w:snapToGrid w:val="0"/>
        <w:spacing w:line="400" w:lineRule="exact"/>
        <w:ind w:right="-292" w:rightChars="-139" w:firstLine="569" w:firstLineChars="236"/>
        <w:rPr>
          <w:b/>
          <w:sz w:val="24"/>
          <w:szCs w:val="24"/>
        </w:rPr>
      </w:pPr>
      <w:r>
        <w:rPr>
          <w:rFonts w:hint="eastAsia"/>
          <w:b/>
          <w:sz w:val="24"/>
          <w:szCs w:val="24"/>
        </w:rPr>
        <w:t>十二、</w:t>
      </w:r>
      <w:r>
        <w:rPr>
          <w:b/>
          <w:sz w:val="24"/>
          <w:szCs w:val="24"/>
        </w:rPr>
        <w:t>其他</w:t>
      </w:r>
    </w:p>
    <w:p>
      <w:pPr>
        <w:adjustRightInd w:val="0"/>
        <w:snapToGrid w:val="0"/>
        <w:spacing w:line="400" w:lineRule="exact"/>
        <w:ind w:right="-292" w:rightChars="-139" w:firstLine="480" w:firstLineChars="200"/>
        <w:rPr>
          <w:bCs/>
          <w:sz w:val="24"/>
          <w:szCs w:val="24"/>
        </w:rPr>
      </w:pPr>
      <w:r>
        <w:rPr>
          <w:bCs/>
          <w:sz w:val="24"/>
          <w:szCs w:val="24"/>
        </w:rPr>
        <w:t>本合同一式</w:t>
      </w:r>
      <w:r>
        <w:rPr>
          <w:rFonts w:hint="eastAsia"/>
          <w:bCs/>
          <w:sz w:val="24"/>
          <w:szCs w:val="24"/>
        </w:rPr>
        <w:t>陆</w:t>
      </w:r>
      <w:r>
        <w:rPr>
          <w:bCs/>
          <w:sz w:val="24"/>
          <w:szCs w:val="24"/>
        </w:rPr>
        <w:t>份，甲方</w:t>
      </w:r>
      <w:r>
        <w:rPr>
          <w:rFonts w:hint="eastAsia"/>
          <w:bCs/>
          <w:sz w:val="24"/>
          <w:szCs w:val="24"/>
        </w:rPr>
        <w:t>伍</w:t>
      </w:r>
      <w:r>
        <w:rPr>
          <w:bCs/>
          <w:sz w:val="24"/>
          <w:szCs w:val="24"/>
        </w:rPr>
        <w:t>份，乙方</w:t>
      </w:r>
      <w:r>
        <w:rPr>
          <w:rFonts w:hint="eastAsia"/>
          <w:bCs/>
          <w:sz w:val="24"/>
          <w:szCs w:val="24"/>
        </w:rPr>
        <w:t>壹</w:t>
      </w:r>
      <w:r>
        <w:rPr>
          <w:bCs/>
          <w:sz w:val="24"/>
          <w:szCs w:val="24"/>
        </w:rPr>
        <w:t>份，具有同等法律效力。本合同自双方签字盖章之日起生效。</w:t>
      </w:r>
    </w:p>
    <w:p/>
    <w:p>
      <w:pPr>
        <w:rPr>
          <w:rFonts w:hint="eastAsia"/>
        </w:rPr>
      </w:pPr>
    </w:p>
    <w:p/>
    <w:p/>
    <w:p/>
    <w:tbl>
      <w:tblPr>
        <w:tblStyle w:val="5"/>
        <w:tblW w:w="9159" w:type="dxa"/>
        <w:jc w:val="center"/>
        <w:tblLayout w:type="fixed"/>
        <w:tblCellMar>
          <w:top w:w="0" w:type="dxa"/>
          <w:left w:w="108" w:type="dxa"/>
          <w:bottom w:w="0" w:type="dxa"/>
          <w:right w:w="108" w:type="dxa"/>
        </w:tblCellMar>
      </w:tblPr>
      <w:tblGrid>
        <w:gridCol w:w="4918"/>
        <w:gridCol w:w="4241"/>
      </w:tblGrid>
      <w:tr>
        <w:tblPrEx>
          <w:tblCellMar>
            <w:top w:w="0" w:type="dxa"/>
            <w:left w:w="108" w:type="dxa"/>
            <w:bottom w:w="0" w:type="dxa"/>
            <w:right w:w="108" w:type="dxa"/>
          </w:tblCellMar>
        </w:tblPrEx>
        <w:trPr>
          <w:trHeight w:val="669" w:hRule="atLeast"/>
          <w:jc w:val="center"/>
        </w:trPr>
        <w:tc>
          <w:tcPr>
            <w:tcW w:w="4918" w:type="dxa"/>
            <w:noWrap w:val="0"/>
            <w:vAlign w:val="top"/>
          </w:tcPr>
          <w:p>
            <w:pPr>
              <w:autoSpaceDN w:val="0"/>
              <w:rPr>
                <w:rFonts w:hAnsi="宋体"/>
                <w:color w:val="000000"/>
                <w:shd w:val="clear" w:color="auto" w:fill="FFFFFF"/>
              </w:rPr>
            </w:pPr>
            <w:r>
              <w:rPr>
                <w:rFonts w:hAnsi="宋体"/>
                <w:color w:val="000000"/>
                <w:shd w:val="clear" w:color="auto" w:fill="FFFFFF"/>
              </w:rPr>
              <w:t>甲方（盖章）：</w:t>
            </w:r>
          </w:p>
          <w:p>
            <w:pPr>
              <w:autoSpaceDN w:val="0"/>
              <w:ind w:firstLine="1365" w:firstLineChars="650"/>
              <w:rPr>
                <w:rFonts w:hAnsi="宋体"/>
                <w:color w:val="000000"/>
                <w:shd w:val="clear" w:color="auto" w:fill="FFFFFF"/>
              </w:rPr>
            </w:pPr>
          </w:p>
        </w:tc>
        <w:tc>
          <w:tcPr>
            <w:tcW w:w="4241" w:type="dxa"/>
            <w:noWrap w:val="0"/>
            <w:vAlign w:val="top"/>
          </w:tcPr>
          <w:p>
            <w:pPr>
              <w:autoSpaceDN w:val="0"/>
              <w:ind w:left="1365" w:hanging="1365" w:hangingChars="650"/>
              <w:rPr>
                <w:rFonts w:hAnsi="宋体"/>
                <w:color w:val="000000"/>
                <w:shd w:val="clear" w:color="auto" w:fill="FFFFFF"/>
              </w:rPr>
            </w:pPr>
            <w:r>
              <w:rPr>
                <w:rFonts w:hAnsi="宋体"/>
                <w:color w:val="000000"/>
                <w:shd w:val="clear" w:color="auto" w:fill="FFFFFF"/>
              </w:rPr>
              <w:t xml:space="preserve">乙方（盖章）： </w:t>
            </w:r>
          </w:p>
        </w:tc>
      </w:tr>
      <w:tr>
        <w:tblPrEx>
          <w:tblCellMar>
            <w:top w:w="0" w:type="dxa"/>
            <w:left w:w="108" w:type="dxa"/>
            <w:bottom w:w="0" w:type="dxa"/>
            <w:right w:w="108" w:type="dxa"/>
          </w:tblCellMar>
        </w:tblPrEx>
        <w:trPr>
          <w:trHeight w:val="341" w:hRule="atLeast"/>
          <w:jc w:val="center"/>
        </w:trPr>
        <w:tc>
          <w:tcPr>
            <w:tcW w:w="4918" w:type="dxa"/>
            <w:noWrap w:val="0"/>
            <w:vAlign w:val="center"/>
          </w:tcPr>
          <w:p>
            <w:pPr>
              <w:autoSpaceDN w:val="0"/>
              <w:rPr>
                <w:rFonts w:hAnsi="宋体"/>
                <w:color w:val="000000"/>
                <w:shd w:val="clear" w:color="auto" w:fill="FFFFFF"/>
              </w:rPr>
            </w:pPr>
            <w:r>
              <w:rPr>
                <w:rFonts w:hint="eastAsia" w:hAnsi="宋体"/>
                <w:color w:val="000000"/>
                <w:shd w:val="clear" w:color="auto" w:fill="FFFFFF"/>
              </w:rPr>
              <w:t>法定代表人</w:t>
            </w:r>
            <w:r>
              <w:rPr>
                <w:rFonts w:hAnsi="宋体"/>
                <w:color w:val="000000"/>
                <w:shd w:val="clear" w:color="auto" w:fill="FFFFFF"/>
              </w:rPr>
              <w:t xml:space="preserve">： </w:t>
            </w:r>
          </w:p>
        </w:tc>
        <w:tc>
          <w:tcPr>
            <w:tcW w:w="4241" w:type="dxa"/>
            <w:noWrap w:val="0"/>
            <w:vAlign w:val="center"/>
          </w:tcPr>
          <w:p>
            <w:pPr>
              <w:autoSpaceDN w:val="0"/>
              <w:rPr>
                <w:rFonts w:hAnsi="宋体"/>
                <w:color w:val="000000"/>
                <w:shd w:val="clear" w:color="auto" w:fill="FFFFFF"/>
              </w:rPr>
            </w:pPr>
            <w:r>
              <w:rPr>
                <w:rFonts w:hint="eastAsia" w:hAnsi="宋体"/>
                <w:color w:val="000000"/>
                <w:shd w:val="clear" w:color="auto" w:fill="FFFFFF"/>
              </w:rPr>
              <w:t>法定代表人</w:t>
            </w:r>
            <w:r>
              <w:rPr>
                <w:rFonts w:hAnsi="宋体"/>
                <w:color w:val="000000"/>
                <w:shd w:val="clear" w:color="auto" w:fill="FFFFFF"/>
              </w:rPr>
              <w:t>：</w:t>
            </w:r>
            <w:r>
              <w:rPr>
                <w:rFonts w:hint="eastAsia" w:hAnsi="宋体"/>
                <w:color w:val="000000"/>
                <w:shd w:val="clear" w:color="auto" w:fill="FFFFFF"/>
              </w:rPr>
              <w:t xml:space="preserve"> </w:t>
            </w:r>
          </w:p>
        </w:tc>
      </w:tr>
      <w:tr>
        <w:tblPrEx>
          <w:tblCellMar>
            <w:top w:w="0" w:type="dxa"/>
            <w:left w:w="108" w:type="dxa"/>
            <w:bottom w:w="0" w:type="dxa"/>
            <w:right w:w="108" w:type="dxa"/>
          </w:tblCellMar>
        </w:tblPrEx>
        <w:trPr>
          <w:trHeight w:val="597" w:hRule="atLeast"/>
          <w:jc w:val="center"/>
        </w:trPr>
        <w:tc>
          <w:tcPr>
            <w:tcW w:w="4918" w:type="dxa"/>
            <w:noWrap w:val="0"/>
            <w:vAlign w:val="center"/>
          </w:tcPr>
          <w:p>
            <w:pPr>
              <w:autoSpaceDN w:val="0"/>
              <w:rPr>
                <w:rFonts w:hAnsi="宋体"/>
                <w:color w:val="000000"/>
                <w:shd w:val="clear" w:color="auto" w:fill="FFFFFF"/>
              </w:rPr>
            </w:pPr>
            <w:r>
              <w:rPr>
                <w:rFonts w:hAnsi="宋体"/>
                <w:color w:val="000000"/>
                <w:shd w:val="clear" w:color="auto" w:fill="FFFFFF"/>
              </w:rPr>
              <w:t>甲方代表（签字）：</w:t>
            </w:r>
          </w:p>
        </w:tc>
        <w:tc>
          <w:tcPr>
            <w:tcW w:w="4241" w:type="dxa"/>
            <w:noWrap w:val="0"/>
            <w:vAlign w:val="center"/>
          </w:tcPr>
          <w:p>
            <w:pPr>
              <w:autoSpaceDN w:val="0"/>
              <w:rPr>
                <w:rFonts w:hAnsi="宋体"/>
                <w:color w:val="000000"/>
                <w:shd w:val="clear" w:color="auto" w:fill="FFFFFF"/>
              </w:rPr>
            </w:pPr>
            <w:r>
              <w:rPr>
                <w:rFonts w:hAnsi="宋体"/>
                <w:color w:val="000000"/>
                <w:shd w:val="clear" w:color="auto" w:fill="FFFFFF"/>
              </w:rPr>
              <w:t>乙方代表（签字）：</w:t>
            </w:r>
          </w:p>
        </w:tc>
      </w:tr>
      <w:tr>
        <w:tblPrEx>
          <w:tblCellMar>
            <w:top w:w="0" w:type="dxa"/>
            <w:left w:w="108" w:type="dxa"/>
            <w:bottom w:w="0" w:type="dxa"/>
            <w:right w:w="108" w:type="dxa"/>
          </w:tblCellMar>
        </w:tblPrEx>
        <w:trPr>
          <w:trHeight w:val="423" w:hRule="atLeast"/>
          <w:jc w:val="center"/>
        </w:trPr>
        <w:tc>
          <w:tcPr>
            <w:tcW w:w="4918" w:type="dxa"/>
            <w:noWrap w:val="0"/>
            <w:vAlign w:val="center"/>
          </w:tcPr>
          <w:p>
            <w:pPr>
              <w:autoSpaceDN w:val="0"/>
              <w:rPr>
                <w:rFonts w:hAnsi="宋体"/>
                <w:color w:val="000000"/>
                <w:shd w:val="clear" w:color="auto" w:fill="FFFFFF"/>
              </w:rPr>
            </w:pPr>
            <w:r>
              <w:rPr>
                <w:rFonts w:hAnsi="宋体"/>
                <w:color w:val="000000"/>
                <w:shd w:val="clear" w:color="auto" w:fill="FFFFFF"/>
              </w:rPr>
              <w:t>地址：</w:t>
            </w:r>
          </w:p>
        </w:tc>
        <w:tc>
          <w:tcPr>
            <w:tcW w:w="4241" w:type="dxa"/>
            <w:noWrap w:val="0"/>
            <w:vAlign w:val="center"/>
          </w:tcPr>
          <w:p>
            <w:pPr>
              <w:autoSpaceDN w:val="0"/>
              <w:ind w:left="630" w:hanging="630" w:hangingChars="300"/>
              <w:rPr>
                <w:rFonts w:hAnsi="宋体"/>
                <w:color w:val="000000"/>
                <w:shd w:val="clear" w:color="auto" w:fill="FFFFFF"/>
              </w:rPr>
            </w:pPr>
            <w:r>
              <w:rPr>
                <w:rFonts w:hAnsi="宋体"/>
                <w:color w:val="000000"/>
                <w:shd w:val="clear" w:color="auto" w:fill="FFFFFF"/>
              </w:rPr>
              <w:t xml:space="preserve">地址： </w:t>
            </w:r>
          </w:p>
        </w:tc>
      </w:tr>
      <w:tr>
        <w:tblPrEx>
          <w:tblCellMar>
            <w:top w:w="0" w:type="dxa"/>
            <w:left w:w="108" w:type="dxa"/>
            <w:bottom w:w="0" w:type="dxa"/>
            <w:right w:w="108" w:type="dxa"/>
          </w:tblCellMar>
        </w:tblPrEx>
        <w:trPr>
          <w:trHeight w:val="503" w:hRule="atLeast"/>
          <w:jc w:val="center"/>
        </w:trPr>
        <w:tc>
          <w:tcPr>
            <w:tcW w:w="4918" w:type="dxa"/>
            <w:noWrap w:val="0"/>
            <w:vAlign w:val="center"/>
          </w:tcPr>
          <w:p>
            <w:pPr>
              <w:autoSpaceDN w:val="0"/>
              <w:rPr>
                <w:rFonts w:hAnsi="宋体"/>
                <w:color w:val="000000"/>
                <w:shd w:val="clear" w:color="auto" w:fill="FFFFFF"/>
              </w:rPr>
            </w:pPr>
            <w:r>
              <w:rPr>
                <w:rFonts w:hAnsi="宋体"/>
                <w:color w:val="000000"/>
                <w:shd w:val="clear" w:color="auto" w:fill="FFFFFF"/>
              </w:rPr>
              <w:t>电话：</w:t>
            </w:r>
          </w:p>
        </w:tc>
        <w:tc>
          <w:tcPr>
            <w:tcW w:w="4241" w:type="dxa"/>
            <w:noWrap w:val="0"/>
            <w:vAlign w:val="center"/>
          </w:tcPr>
          <w:p>
            <w:pPr>
              <w:autoSpaceDN w:val="0"/>
              <w:rPr>
                <w:rFonts w:hAnsi="宋体"/>
                <w:color w:val="000000"/>
                <w:shd w:val="clear" w:color="auto" w:fill="FFFFFF"/>
              </w:rPr>
            </w:pPr>
            <w:r>
              <w:rPr>
                <w:rFonts w:hAnsi="宋体"/>
                <w:color w:val="000000"/>
                <w:shd w:val="clear" w:color="auto" w:fill="FFFFFF"/>
              </w:rPr>
              <w:t>电话：</w:t>
            </w:r>
            <w:r>
              <w:rPr>
                <w:rFonts w:hint="eastAsia" w:hAnsi="宋体"/>
                <w:color w:val="000000"/>
                <w:shd w:val="clear" w:color="auto" w:fill="FFFFFF"/>
              </w:rPr>
              <w:t xml:space="preserve"> </w:t>
            </w:r>
          </w:p>
        </w:tc>
      </w:tr>
      <w:tr>
        <w:tblPrEx>
          <w:tblCellMar>
            <w:top w:w="0" w:type="dxa"/>
            <w:left w:w="108" w:type="dxa"/>
            <w:bottom w:w="0" w:type="dxa"/>
            <w:right w:w="108" w:type="dxa"/>
          </w:tblCellMar>
        </w:tblPrEx>
        <w:trPr>
          <w:trHeight w:val="341" w:hRule="atLeast"/>
          <w:jc w:val="center"/>
        </w:trPr>
        <w:tc>
          <w:tcPr>
            <w:tcW w:w="4918" w:type="dxa"/>
            <w:noWrap w:val="0"/>
            <w:vAlign w:val="center"/>
          </w:tcPr>
          <w:p>
            <w:pPr>
              <w:autoSpaceDN w:val="0"/>
              <w:rPr>
                <w:rFonts w:hAnsi="宋体"/>
                <w:color w:val="000000"/>
                <w:shd w:val="clear" w:color="auto" w:fill="FFFFFF"/>
              </w:rPr>
            </w:pPr>
            <w:r>
              <w:rPr>
                <w:rFonts w:hAnsi="宋体"/>
                <w:color w:val="000000"/>
                <w:shd w:val="clear" w:color="auto" w:fill="FFFFFF"/>
              </w:rPr>
              <w:t>传真：</w:t>
            </w:r>
          </w:p>
        </w:tc>
        <w:tc>
          <w:tcPr>
            <w:tcW w:w="4241" w:type="dxa"/>
            <w:noWrap w:val="0"/>
            <w:vAlign w:val="center"/>
          </w:tcPr>
          <w:p>
            <w:pPr>
              <w:autoSpaceDN w:val="0"/>
              <w:rPr>
                <w:rFonts w:hAnsi="宋体"/>
                <w:color w:val="000000"/>
                <w:shd w:val="clear" w:color="auto" w:fill="FFFFFF"/>
              </w:rPr>
            </w:pPr>
            <w:r>
              <w:rPr>
                <w:rFonts w:hAnsi="宋体"/>
                <w:color w:val="000000"/>
                <w:shd w:val="clear" w:color="auto" w:fill="FFFFFF"/>
              </w:rPr>
              <w:t>传真：</w:t>
            </w:r>
            <w:r>
              <w:rPr>
                <w:rFonts w:hint="eastAsia" w:hAnsi="宋体"/>
                <w:color w:val="000000"/>
                <w:shd w:val="clear" w:color="auto" w:fill="FFFFFF"/>
              </w:rPr>
              <w:t xml:space="preserve"> </w:t>
            </w:r>
          </w:p>
        </w:tc>
      </w:tr>
      <w:tr>
        <w:tblPrEx>
          <w:tblCellMar>
            <w:top w:w="0" w:type="dxa"/>
            <w:left w:w="108" w:type="dxa"/>
            <w:bottom w:w="0" w:type="dxa"/>
            <w:right w:w="108" w:type="dxa"/>
          </w:tblCellMar>
        </w:tblPrEx>
        <w:trPr>
          <w:trHeight w:val="341" w:hRule="atLeast"/>
          <w:jc w:val="center"/>
        </w:trPr>
        <w:tc>
          <w:tcPr>
            <w:tcW w:w="4918" w:type="dxa"/>
            <w:noWrap w:val="0"/>
            <w:vAlign w:val="center"/>
          </w:tcPr>
          <w:p>
            <w:pPr>
              <w:autoSpaceDN w:val="0"/>
              <w:rPr>
                <w:rFonts w:hAnsi="宋体"/>
                <w:color w:val="000000"/>
                <w:shd w:val="clear" w:color="auto" w:fill="FFFFFF"/>
              </w:rPr>
            </w:pPr>
            <w:r>
              <w:rPr>
                <w:rFonts w:hAnsi="宋体"/>
                <w:color w:val="000000"/>
                <w:shd w:val="clear" w:color="auto" w:fill="FFFFFF"/>
              </w:rPr>
              <w:t>开户银行：</w:t>
            </w:r>
          </w:p>
        </w:tc>
        <w:tc>
          <w:tcPr>
            <w:tcW w:w="4241" w:type="dxa"/>
            <w:noWrap w:val="0"/>
            <w:vAlign w:val="center"/>
          </w:tcPr>
          <w:p>
            <w:pPr>
              <w:autoSpaceDN w:val="0"/>
              <w:rPr>
                <w:rFonts w:hAnsi="宋体"/>
                <w:color w:val="000000"/>
                <w:shd w:val="clear" w:color="auto" w:fill="FFFFFF"/>
              </w:rPr>
            </w:pPr>
            <w:r>
              <w:rPr>
                <w:rFonts w:hAnsi="宋体"/>
                <w:color w:val="000000"/>
                <w:shd w:val="clear" w:color="auto" w:fill="FFFFFF"/>
              </w:rPr>
              <w:t>开户银行：</w:t>
            </w:r>
            <w:r>
              <w:rPr>
                <w:rFonts w:hint="eastAsia" w:hAnsi="宋体"/>
                <w:color w:val="000000"/>
                <w:shd w:val="clear" w:color="auto" w:fill="FFFFFF"/>
              </w:rPr>
              <w:t xml:space="preserve"> </w:t>
            </w:r>
          </w:p>
        </w:tc>
      </w:tr>
      <w:tr>
        <w:tblPrEx>
          <w:tblCellMar>
            <w:top w:w="0" w:type="dxa"/>
            <w:left w:w="108" w:type="dxa"/>
            <w:bottom w:w="0" w:type="dxa"/>
            <w:right w:w="108" w:type="dxa"/>
          </w:tblCellMar>
        </w:tblPrEx>
        <w:trPr>
          <w:trHeight w:val="198" w:hRule="atLeast"/>
          <w:jc w:val="center"/>
        </w:trPr>
        <w:tc>
          <w:tcPr>
            <w:tcW w:w="4918" w:type="dxa"/>
            <w:noWrap w:val="0"/>
            <w:vAlign w:val="center"/>
          </w:tcPr>
          <w:p>
            <w:pPr>
              <w:autoSpaceDN w:val="0"/>
              <w:rPr>
                <w:rFonts w:hAnsi="宋体"/>
                <w:color w:val="000000"/>
                <w:shd w:val="clear" w:color="auto" w:fill="FFFFFF"/>
              </w:rPr>
            </w:pPr>
            <w:r>
              <w:rPr>
                <w:rFonts w:hAnsi="宋体"/>
                <w:color w:val="000000"/>
                <w:shd w:val="clear" w:color="auto" w:fill="FFFFFF"/>
              </w:rPr>
              <w:t>账    号：</w:t>
            </w:r>
          </w:p>
        </w:tc>
        <w:tc>
          <w:tcPr>
            <w:tcW w:w="4241" w:type="dxa"/>
            <w:noWrap w:val="0"/>
            <w:vAlign w:val="center"/>
          </w:tcPr>
          <w:p>
            <w:pPr>
              <w:autoSpaceDN w:val="0"/>
              <w:rPr>
                <w:rFonts w:hAnsi="宋体"/>
                <w:color w:val="000000"/>
                <w:shd w:val="clear" w:color="auto" w:fill="FFFFFF"/>
              </w:rPr>
            </w:pPr>
            <w:r>
              <w:rPr>
                <w:rFonts w:hAnsi="宋体"/>
                <w:color w:val="000000"/>
                <w:shd w:val="clear" w:color="auto" w:fill="FFFFFF"/>
              </w:rPr>
              <w:t>账    号</w:t>
            </w:r>
            <w:r>
              <w:rPr>
                <w:rFonts w:hint="eastAsia" w:hAnsi="宋体"/>
                <w:color w:val="000000"/>
                <w:shd w:val="clear" w:color="auto" w:fill="FFFFFF"/>
              </w:rPr>
              <w:t xml:space="preserve">： </w:t>
            </w:r>
          </w:p>
        </w:tc>
      </w:tr>
      <w:tr>
        <w:tblPrEx>
          <w:tblCellMar>
            <w:top w:w="0" w:type="dxa"/>
            <w:left w:w="108" w:type="dxa"/>
            <w:bottom w:w="0" w:type="dxa"/>
            <w:right w:w="108" w:type="dxa"/>
          </w:tblCellMar>
        </w:tblPrEx>
        <w:trPr>
          <w:trHeight w:val="574" w:hRule="atLeast"/>
          <w:jc w:val="center"/>
        </w:trPr>
        <w:tc>
          <w:tcPr>
            <w:tcW w:w="4918" w:type="dxa"/>
            <w:noWrap w:val="0"/>
            <w:vAlign w:val="center"/>
          </w:tcPr>
          <w:p>
            <w:pPr>
              <w:autoSpaceDN w:val="0"/>
              <w:rPr>
                <w:rFonts w:hAnsi="宋体"/>
                <w:color w:val="000000"/>
                <w:shd w:val="clear" w:color="auto" w:fill="FFFFFF"/>
              </w:rPr>
            </w:pPr>
            <w:r>
              <w:rPr>
                <w:rFonts w:hAnsi="宋体"/>
                <w:color w:val="000000"/>
                <w:shd w:val="clear" w:color="auto" w:fill="FFFFFF"/>
              </w:rPr>
              <w:t>合同签订日期：</w:t>
            </w:r>
            <w:r>
              <w:rPr>
                <w:rFonts w:hint="eastAsia" w:hAnsi="宋体"/>
                <w:color w:val="000000"/>
                <w:shd w:val="clear" w:color="auto" w:fill="FFFFFF"/>
              </w:rPr>
              <w:t xml:space="preserve">  </w:t>
            </w:r>
            <w:r>
              <w:rPr>
                <w:rFonts w:hAnsi="宋体"/>
                <w:color w:val="000000"/>
                <w:shd w:val="clear" w:color="auto" w:fill="FFFFFF"/>
              </w:rPr>
              <w:t>年</w:t>
            </w:r>
            <w:r>
              <w:rPr>
                <w:rFonts w:hint="eastAsia" w:hAnsi="宋体"/>
                <w:color w:val="000000"/>
                <w:shd w:val="clear" w:color="auto" w:fill="FFFFFF"/>
              </w:rPr>
              <w:t xml:space="preserve">  </w:t>
            </w:r>
            <w:r>
              <w:rPr>
                <w:rFonts w:hAnsi="宋体"/>
                <w:color w:val="000000"/>
                <w:shd w:val="clear" w:color="auto" w:fill="FFFFFF"/>
              </w:rPr>
              <w:t xml:space="preserve">月  </w:t>
            </w:r>
            <w:r>
              <w:rPr>
                <w:rFonts w:hint="eastAsia" w:hAnsi="宋体"/>
                <w:color w:val="000000"/>
                <w:shd w:val="clear" w:color="auto" w:fill="FFFFFF"/>
              </w:rPr>
              <w:t xml:space="preserve"> </w:t>
            </w:r>
            <w:r>
              <w:rPr>
                <w:rFonts w:hAnsi="宋体"/>
                <w:color w:val="000000"/>
                <w:shd w:val="clear" w:color="auto" w:fill="FFFFFF"/>
              </w:rPr>
              <w:t>日</w:t>
            </w:r>
          </w:p>
        </w:tc>
        <w:tc>
          <w:tcPr>
            <w:tcW w:w="4241" w:type="dxa"/>
            <w:noWrap w:val="0"/>
            <w:vAlign w:val="center"/>
          </w:tcPr>
          <w:p>
            <w:pPr>
              <w:autoSpaceDN w:val="0"/>
              <w:rPr>
                <w:rFonts w:hAnsi="宋体"/>
                <w:color w:val="000000"/>
                <w:shd w:val="clear" w:color="auto" w:fill="FFFFFF"/>
              </w:rPr>
            </w:pPr>
            <w:r>
              <w:rPr>
                <w:rFonts w:hAnsi="宋体"/>
                <w:color w:val="000000"/>
                <w:shd w:val="clear" w:color="auto" w:fill="FFFFFF"/>
              </w:rPr>
              <w:t xml:space="preserve">合同签订日期： </w:t>
            </w:r>
            <w:r>
              <w:rPr>
                <w:rFonts w:hint="eastAsia" w:hAnsi="宋体"/>
                <w:color w:val="000000"/>
                <w:shd w:val="clear" w:color="auto" w:fill="FFFFFF"/>
              </w:rPr>
              <w:t xml:space="preserve">   </w:t>
            </w:r>
            <w:r>
              <w:rPr>
                <w:rFonts w:hAnsi="宋体"/>
                <w:color w:val="000000"/>
                <w:shd w:val="clear" w:color="auto" w:fill="FFFFFF"/>
              </w:rPr>
              <w:t>年</w:t>
            </w:r>
            <w:r>
              <w:rPr>
                <w:rFonts w:hint="eastAsia" w:hAnsi="宋体"/>
                <w:color w:val="000000"/>
                <w:shd w:val="clear" w:color="auto" w:fill="FFFFFF"/>
              </w:rPr>
              <w:t xml:space="preserve">  </w:t>
            </w:r>
            <w:r>
              <w:rPr>
                <w:rFonts w:hAnsi="宋体"/>
                <w:color w:val="000000"/>
                <w:shd w:val="clear" w:color="auto" w:fill="FFFFFF"/>
              </w:rPr>
              <w:t>月   日</w:t>
            </w:r>
          </w:p>
        </w:tc>
      </w:tr>
    </w:tbl>
    <w:p>
      <w:pPr>
        <w:rPr>
          <w:rFonts w:hint="eastAsia"/>
        </w:rPr>
      </w:pPr>
    </w:p>
    <w:p/>
    <w:sectPr>
      <w:pgSz w:w="11906" w:h="16838"/>
      <w:pgMar w:top="1440" w:right="1797" w:bottom="1304"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745E4"/>
    <w:rsid w:val="55774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spacing w:after="200" w:line="252" w:lineRule="auto"/>
      <w:ind w:firstLine="420"/>
      <w:jc w:val="left"/>
    </w:pPr>
    <w:rPr>
      <w:rFonts w:ascii="Cambria" w:hAnsi="Cambria"/>
      <w:kern w:val="0"/>
      <w:sz w:val="22"/>
      <w:szCs w:val="22"/>
    </w:rPr>
  </w:style>
  <w:style w:type="paragraph" w:styleId="3">
    <w:name w:val="Plain Text"/>
    <w:basedOn w:val="1"/>
    <w:qFormat/>
    <w:uiPriority w:val="0"/>
    <w:rPr>
      <w:rFonts w:ascii="宋体" w:hAnsi="Courier New"/>
      <w:szCs w:val="21"/>
    </w:rPr>
  </w:style>
  <w:style w:type="paragraph" w:styleId="4">
    <w:name w:val="Body Text 2"/>
    <w:basedOn w:val="1"/>
    <w:qFormat/>
    <w:uiPriority w:val="0"/>
    <w:pPr>
      <w:spacing w:after="120" w:line="480"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2020-08-03T01:39:00Z</dcterms:created>
  <dc:creator>大力水手</dc:creator>
  <cp:lastModifiedBy>大力水手</cp:lastModifiedBy>
  <dcterms:modified xsi:type="dcterms:W3CDTF">2020-08-03T01:43:13Z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